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E9" w:rsidRPr="00115D83" w:rsidRDefault="00967BE9" w:rsidP="007C3135">
      <w:pPr>
        <w:rPr>
          <w:lang w:val="lt-LT"/>
        </w:rPr>
      </w:pPr>
    </w:p>
    <w:p w:rsidR="00DB638C" w:rsidRPr="00E241E3" w:rsidRDefault="00DB638C" w:rsidP="00E241E3">
      <w:pPr>
        <w:pStyle w:val="Default"/>
        <w:widowControl/>
        <w:tabs>
          <w:tab w:val="right" w:pos="10080"/>
        </w:tabs>
        <w:suppressAutoHyphens/>
        <w:spacing w:line="270" w:lineRule="exact"/>
        <w:jc w:val="right"/>
        <w:rPr>
          <w:lang w:val="lt-LT"/>
        </w:rPr>
      </w:pPr>
      <w:r w:rsidRPr="00115D83">
        <w:rPr>
          <w:rFonts w:eastAsia="MS Mincho"/>
          <w:bCs/>
          <w:sz w:val="20"/>
          <w:szCs w:val="20"/>
          <w:lang w:val="lt-LT" w:eastAsia="ar-SA"/>
        </w:rPr>
        <w:t>Vilnius,  2018 m. rugsėjo</w:t>
      </w:r>
      <w:r w:rsidR="00863EF7">
        <w:rPr>
          <w:rFonts w:eastAsia="MS Mincho"/>
          <w:bCs/>
          <w:sz w:val="20"/>
          <w:szCs w:val="20"/>
          <w:lang w:val="en-US" w:eastAsia="ar-SA"/>
        </w:rPr>
        <w:t xml:space="preserve"> 18 </w:t>
      </w:r>
      <w:r w:rsidRPr="00115D83">
        <w:rPr>
          <w:rFonts w:eastAsia="MS Mincho"/>
          <w:bCs/>
          <w:sz w:val="20"/>
          <w:szCs w:val="20"/>
          <w:lang w:val="lt-LT" w:eastAsia="ar-SA"/>
        </w:rPr>
        <w:t xml:space="preserve">d.  </w:t>
      </w:r>
    </w:p>
    <w:p w:rsidR="00192ABC" w:rsidRPr="00115D83" w:rsidRDefault="00192ABC" w:rsidP="00DB638C">
      <w:pPr>
        <w:widowControl/>
        <w:suppressAutoHyphens/>
        <w:spacing w:line="270" w:lineRule="exact"/>
        <w:jc w:val="center"/>
        <w:rPr>
          <w:rFonts w:ascii="Arial" w:hAnsi="Arial" w:cs="Arial"/>
          <w:b/>
          <w:bCs/>
          <w:color w:val="44546A" w:themeColor="text2"/>
          <w:sz w:val="26"/>
          <w:szCs w:val="26"/>
          <w:lang w:val="lt-LT"/>
        </w:rPr>
      </w:pPr>
    </w:p>
    <w:p w:rsidR="006F32F6" w:rsidRPr="00115D83" w:rsidRDefault="008D6013" w:rsidP="008D6013">
      <w:pPr>
        <w:widowControl/>
        <w:suppressAutoHyphens/>
        <w:spacing w:line="270" w:lineRule="exact"/>
        <w:jc w:val="center"/>
        <w:rPr>
          <w:rFonts w:ascii="Arial" w:hAnsi="Arial" w:cs="Arial"/>
          <w:b/>
          <w:bCs/>
          <w:color w:val="44546A" w:themeColor="text2"/>
          <w:sz w:val="26"/>
          <w:szCs w:val="26"/>
          <w:lang w:val="lt-LT"/>
        </w:rPr>
      </w:pPr>
      <w:r>
        <w:rPr>
          <w:rFonts w:ascii="Arial" w:hAnsi="Arial" w:cs="Arial"/>
          <w:b/>
          <w:bCs/>
          <w:color w:val="44546A" w:themeColor="text2"/>
          <w:sz w:val="26"/>
          <w:szCs w:val="26"/>
          <w:lang w:val="lt-LT"/>
        </w:rPr>
        <w:t xml:space="preserve">„Coface“ </w:t>
      </w:r>
      <w:r w:rsidR="006F32F6">
        <w:rPr>
          <w:rFonts w:ascii="Arial" w:hAnsi="Arial" w:cs="Arial"/>
          <w:b/>
          <w:bCs/>
          <w:color w:val="44546A" w:themeColor="text2"/>
          <w:sz w:val="26"/>
          <w:szCs w:val="26"/>
          <w:lang w:val="lt-LT"/>
        </w:rPr>
        <w:t xml:space="preserve">TOP 50 reitingas: lietuviškų įmonių gausėja, </w:t>
      </w:r>
      <w:r w:rsidR="00021F57">
        <w:rPr>
          <w:rFonts w:ascii="Arial" w:hAnsi="Arial" w:cs="Arial"/>
          <w:b/>
          <w:bCs/>
          <w:color w:val="44546A" w:themeColor="text2"/>
          <w:sz w:val="26"/>
          <w:szCs w:val="26"/>
          <w:lang w:val="lt-LT"/>
        </w:rPr>
        <w:t xml:space="preserve">tačiau </w:t>
      </w:r>
      <w:r w:rsidR="00393B9B">
        <w:rPr>
          <w:rFonts w:ascii="Arial" w:hAnsi="Arial" w:cs="Arial"/>
          <w:b/>
          <w:bCs/>
          <w:color w:val="44546A" w:themeColor="text2"/>
          <w:sz w:val="26"/>
          <w:szCs w:val="26"/>
          <w:lang w:val="lt-LT"/>
        </w:rPr>
        <w:t xml:space="preserve">estai dirba efektyviau </w:t>
      </w:r>
      <w:r w:rsidR="006F32F6">
        <w:rPr>
          <w:rFonts w:ascii="Arial" w:hAnsi="Arial" w:cs="Arial"/>
          <w:b/>
          <w:bCs/>
          <w:color w:val="44546A" w:themeColor="text2"/>
          <w:sz w:val="26"/>
          <w:szCs w:val="26"/>
          <w:lang w:val="lt-LT"/>
        </w:rPr>
        <w:t xml:space="preserve"> </w:t>
      </w:r>
    </w:p>
    <w:p w:rsidR="00DB638C" w:rsidRPr="00115D83" w:rsidRDefault="00DB638C" w:rsidP="00DB638C">
      <w:pPr>
        <w:jc w:val="center"/>
        <w:rPr>
          <w:rFonts w:ascii="Arial" w:hAnsi="Arial" w:cs="Arial"/>
          <w:b/>
          <w:bCs/>
          <w:color w:val="000000"/>
          <w:sz w:val="22"/>
          <w:szCs w:val="26"/>
          <w:lang w:val="lt-LT"/>
        </w:rPr>
      </w:pPr>
    </w:p>
    <w:p w:rsidR="00486EB0" w:rsidRPr="00115D83" w:rsidRDefault="00DB638C" w:rsidP="00DB638C">
      <w:pPr>
        <w:jc w:val="both"/>
        <w:rPr>
          <w:rFonts w:ascii="Arial" w:eastAsia="Arial Unicode MS" w:hAnsi="Arial" w:cs="Arial"/>
          <w:b/>
          <w:color w:val="212121"/>
          <w:sz w:val="20"/>
          <w:szCs w:val="20"/>
          <w:lang w:val="lt-LT"/>
        </w:rPr>
      </w:pPr>
      <w:r w:rsidRPr="00115D83">
        <w:rPr>
          <w:rFonts w:ascii="Arial" w:eastAsia="Arial Unicode MS" w:hAnsi="Arial" w:cs="Arial"/>
          <w:b/>
          <w:color w:val="212121"/>
          <w:sz w:val="20"/>
          <w:szCs w:val="20"/>
          <w:lang w:val="lt-LT"/>
        </w:rPr>
        <w:t xml:space="preserve">Naujausias „Coface“ TOP 50 didžiausių įmonių Baltijos šalyse reitingas </w:t>
      </w:r>
      <w:r w:rsidR="00434E6C" w:rsidRPr="00115D83">
        <w:rPr>
          <w:rFonts w:ascii="Arial" w:eastAsia="Arial Unicode MS" w:hAnsi="Arial" w:cs="Arial"/>
          <w:b/>
          <w:color w:val="212121"/>
          <w:sz w:val="20"/>
          <w:szCs w:val="20"/>
          <w:lang w:val="lt-LT"/>
        </w:rPr>
        <w:t>atskleidžia, kad nepaisant stiprios priklausomybės nuo užsienio rinkų, Baltijos šalių ekonomikos toliau aug</w:t>
      </w:r>
      <w:r w:rsidR="00486EB0" w:rsidRPr="00115D83">
        <w:rPr>
          <w:rFonts w:ascii="Arial" w:eastAsia="Arial Unicode MS" w:hAnsi="Arial" w:cs="Arial"/>
          <w:b/>
          <w:color w:val="212121"/>
          <w:sz w:val="20"/>
          <w:szCs w:val="20"/>
          <w:lang w:val="lt-LT"/>
        </w:rPr>
        <w:t>a</w:t>
      </w:r>
      <w:r w:rsidR="00434E6C" w:rsidRPr="00115D83">
        <w:rPr>
          <w:rFonts w:ascii="Arial" w:eastAsia="Arial Unicode MS" w:hAnsi="Arial" w:cs="Arial"/>
          <w:b/>
          <w:color w:val="212121"/>
          <w:sz w:val="20"/>
          <w:szCs w:val="20"/>
          <w:lang w:val="lt-LT"/>
        </w:rPr>
        <w:t>, o didžiausios regiono įmonės didina apyvartas.</w:t>
      </w:r>
      <w:r w:rsidR="00486EB0" w:rsidRPr="00115D83">
        <w:rPr>
          <w:rFonts w:ascii="Arial" w:eastAsia="Arial Unicode MS" w:hAnsi="Arial" w:cs="Arial"/>
          <w:b/>
          <w:color w:val="212121"/>
          <w:sz w:val="20"/>
          <w:szCs w:val="20"/>
          <w:lang w:val="lt-LT"/>
        </w:rPr>
        <w:t xml:space="preserve"> T</w:t>
      </w:r>
      <w:r w:rsidR="00434E6C" w:rsidRPr="00115D83">
        <w:rPr>
          <w:rFonts w:ascii="Arial" w:eastAsia="Arial Unicode MS" w:hAnsi="Arial" w:cs="Arial"/>
          <w:b/>
          <w:color w:val="212121"/>
          <w:sz w:val="20"/>
          <w:szCs w:val="20"/>
          <w:lang w:val="lt-LT"/>
        </w:rPr>
        <w:t xml:space="preserve">ai lemia </w:t>
      </w:r>
      <w:r w:rsidR="00486EB0" w:rsidRPr="00115D83">
        <w:rPr>
          <w:rFonts w:ascii="Arial" w:eastAsia="Arial Unicode MS" w:hAnsi="Arial" w:cs="Arial"/>
          <w:b/>
          <w:color w:val="212121"/>
          <w:sz w:val="20"/>
          <w:szCs w:val="20"/>
          <w:lang w:val="lt-LT"/>
        </w:rPr>
        <w:t>stabilus vidaus vartojimas ir darbuotojams palanki aplinka</w:t>
      </w:r>
      <w:r w:rsidR="00CE5FA5">
        <w:rPr>
          <w:rFonts w:ascii="Arial" w:eastAsia="Arial Unicode MS" w:hAnsi="Arial" w:cs="Arial"/>
          <w:b/>
          <w:color w:val="212121"/>
          <w:sz w:val="20"/>
          <w:szCs w:val="20"/>
          <w:lang w:val="lt-LT"/>
        </w:rPr>
        <w:t xml:space="preserve">. </w:t>
      </w:r>
      <w:r w:rsidR="00486EB0" w:rsidRPr="00115D83">
        <w:rPr>
          <w:rFonts w:ascii="Arial" w:eastAsia="Arial Unicode MS" w:hAnsi="Arial" w:cs="Arial"/>
          <w:b/>
          <w:color w:val="212121"/>
          <w:sz w:val="20"/>
          <w:szCs w:val="20"/>
          <w:lang w:val="lt-LT"/>
        </w:rPr>
        <w:t>Pastaraisiais metais nuolat augę atlyginimai skatin</w:t>
      </w:r>
      <w:r w:rsidR="00256758">
        <w:rPr>
          <w:rFonts w:ascii="Arial" w:eastAsia="Arial Unicode MS" w:hAnsi="Arial" w:cs="Arial"/>
          <w:b/>
          <w:color w:val="212121"/>
          <w:sz w:val="20"/>
          <w:szCs w:val="20"/>
          <w:lang w:val="lt-LT"/>
        </w:rPr>
        <w:t>a</w:t>
      </w:r>
      <w:r w:rsidR="00486EB0" w:rsidRPr="00115D83">
        <w:rPr>
          <w:rFonts w:ascii="Arial" w:eastAsia="Arial Unicode MS" w:hAnsi="Arial" w:cs="Arial"/>
          <w:b/>
          <w:color w:val="212121"/>
          <w:sz w:val="20"/>
          <w:szCs w:val="20"/>
          <w:lang w:val="lt-LT"/>
        </w:rPr>
        <w:t xml:space="preserve"> gyventojus investuoti į pirkinius. </w:t>
      </w:r>
      <w:r w:rsidR="00115D83" w:rsidRPr="00115D83">
        <w:rPr>
          <w:rFonts w:ascii="Arial" w:eastAsia="Arial Unicode MS" w:hAnsi="Arial" w:cs="Arial"/>
          <w:b/>
          <w:color w:val="212121"/>
          <w:sz w:val="20"/>
          <w:szCs w:val="20"/>
          <w:lang w:val="lt-LT"/>
        </w:rPr>
        <w:t xml:space="preserve">Pagal prekių ir paslaugų eksporto santykį su šalies BVP Lietuva pasižymi aukščiausiu rodikliu – 82 proc., Estijoje šis santykis siekia 72 proc., Latvijoje – 59 proc. </w:t>
      </w:r>
    </w:p>
    <w:p w:rsidR="00434E6C" w:rsidRPr="00115D83" w:rsidRDefault="00434E6C" w:rsidP="00DB638C">
      <w:pPr>
        <w:jc w:val="both"/>
        <w:rPr>
          <w:rFonts w:ascii="Arial" w:eastAsia="Arial Unicode MS" w:hAnsi="Arial" w:cs="Arial"/>
          <w:b/>
          <w:color w:val="212121"/>
          <w:sz w:val="20"/>
          <w:szCs w:val="20"/>
          <w:lang w:val="lt-LT"/>
        </w:rPr>
      </w:pPr>
    </w:p>
    <w:p w:rsidR="00CE5FA5" w:rsidRDefault="00CE5FA5" w:rsidP="00115D83">
      <w:pPr>
        <w:jc w:val="both"/>
        <w:rPr>
          <w:rFonts w:ascii="Arial" w:eastAsia="Arial Unicode MS" w:hAnsi="Arial" w:cs="Arial"/>
          <w:bCs/>
          <w:color w:val="212121"/>
          <w:sz w:val="20"/>
          <w:szCs w:val="20"/>
          <w:lang w:val="lt-LT"/>
        </w:rPr>
      </w:pPr>
    </w:p>
    <w:p w:rsidR="00CE5FA5" w:rsidRDefault="00115D83" w:rsidP="00115D83">
      <w:pPr>
        <w:jc w:val="both"/>
        <w:rPr>
          <w:rFonts w:ascii="Arial" w:eastAsia="Arial Unicode MS" w:hAnsi="Arial" w:cs="Arial"/>
          <w:bCs/>
          <w:color w:val="212121"/>
          <w:sz w:val="20"/>
          <w:szCs w:val="20"/>
          <w:lang w:val="lt-LT"/>
        </w:rPr>
      </w:pPr>
      <w:r w:rsidRPr="00115D83">
        <w:rPr>
          <w:rFonts w:ascii="Arial" w:eastAsia="Arial Unicode MS" w:hAnsi="Arial" w:cs="Arial"/>
          <w:bCs/>
          <w:color w:val="212121"/>
          <w:sz w:val="20"/>
          <w:szCs w:val="20"/>
          <w:lang w:val="lt-LT"/>
        </w:rPr>
        <w:t xml:space="preserve">„Coface“ TOP 50 reitingas </w:t>
      </w:r>
      <w:r w:rsidR="00DB638C" w:rsidRPr="00115D83">
        <w:rPr>
          <w:rFonts w:ascii="Arial" w:eastAsia="Arial Unicode MS" w:hAnsi="Arial" w:cs="Arial"/>
          <w:bCs/>
          <w:color w:val="212121"/>
          <w:sz w:val="20"/>
          <w:szCs w:val="20"/>
          <w:lang w:val="lt-LT"/>
        </w:rPr>
        <w:t xml:space="preserve">rodo, kad </w:t>
      </w:r>
      <w:r w:rsidR="00256758">
        <w:rPr>
          <w:rFonts w:ascii="Arial" w:eastAsia="Arial Unicode MS" w:hAnsi="Arial" w:cs="Arial"/>
          <w:bCs/>
          <w:color w:val="212121"/>
          <w:sz w:val="20"/>
          <w:szCs w:val="20"/>
          <w:lang w:val="lt-LT"/>
        </w:rPr>
        <w:t xml:space="preserve">ekonominė situacija Baltijos šalyse išlieka palanki, o </w:t>
      </w:r>
      <w:r w:rsidR="00DB638C" w:rsidRPr="00115D83">
        <w:rPr>
          <w:rFonts w:ascii="Arial" w:eastAsia="Arial Unicode MS" w:hAnsi="Arial" w:cs="Arial"/>
          <w:bCs/>
          <w:color w:val="212121"/>
          <w:sz w:val="20"/>
          <w:szCs w:val="20"/>
          <w:lang w:val="lt-LT"/>
        </w:rPr>
        <w:t xml:space="preserve">Lietuvos bendrovių </w:t>
      </w:r>
      <w:r w:rsidR="00256758">
        <w:rPr>
          <w:rFonts w:ascii="Arial" w:eastAsia="Arial Unicode MS" w:hAnsi="Arial" w:cs="Arial"/>
          <w:bCs/>
          <w:color w:val="212121"/>
          <w:sz w:val="20"/>
          <w:szCs w:val="20"/>
          <w:lang w:val="lt-LT"/>
        </w:rPr>
        <w:t xml:space="preserve">didžiausių įmonių </w:t>
      </w:r>
      <w:r w:rsidR="00DB638C" w:rsidRPr="00115D83">
        <w:rPr>
          <w:rFonts w:ascii="Arial" w:eastAsia="Arial Unicode MS" w:hAnsi="Arial" w:cs="Arial"/>
          <w:bCs/>
          <w:color w:val="212121"/>
          <w:sz w:val="20"/>
          <w:szCs w:val="20"/>
          <w:lang w:val="lt-LT"/>
        </w:rPr>
        <w:t xml:space="preserve">sąraše daugėja. Jų skaičius didžiausių Baltijos įmonių sąraše </w:t>
      </w:r>
      <w:r w:rsidR="000E46F0" w:rsidRPr="00115D83">
        <w:rPr>
          <w:rFonts w:ascii="Arial" w:eastAsia="Arial Unicode MS" w:hAnsi="Arial" w:cs="Arial"/>
          <w:bCs/>
          <w:color w:val="212121"/>
          <w:sz w:val="20"/>
          <w:szCs w:val="20"/>
          <w:lang w:val="lt-LT"/>
        </w:rPr>
        <w:t xml:space="preserve">išaugo iki 29 ir </w:t>
      </w:r>
      <w:r w:rsidR="00DB638C" w:rsidRPr="00115D83">
        <w:rPr>
          <w:rFonts w:ascii="Arial" w:eastAsia="Arial Unicode MS" w:hAnsi="Arial" w:cs="Arial"/>
          <w:bCs/>
          <w:color w:val="212121"/>
          <w:sz w:val="20"/>
          <w:szCs w:val="20"/>
          <w:lang w:val="lt-LT"/>
        </w:rPr>
        <w:t xml:space="preserve">sudaro 58 proc., bendrai pasiekta  apyvarta </w:t>
      </w:r>
      <w:r w:rsidR="000E46F0" w:rsidRPr="00115D83">
        <w:rPr>
          <w:rFonts w:ascii="Arial" w:eastAsia="Arial Unicode MS" w:hAnsi="Arial" w:cs="Arial"/>
          <w:bCs/>
          <w:color w:val="212121"/>
          <w:sz w:val="20"/>
          <w:szCs w:val="20"/>
          <w:lang w:val="lt-LT"/>
        </w:rPr>
        <w:t xml:space="preserve"> siekė 29,564 mlrd. Eur (</w:t>
      </w:r>
      <w:r w:rsidR="00DB638C" w:rsidRPr="00115D83">
        <w:rPr>
          <w:rFonts w:ascii="Arial" w:eastAsia="Arial Unicode MS" w:hAnsi="Arial" w:cs="Arial"/>
          <w:bCs/>
          <w:color w:val="212121"/>
          <w:sz w:val="20"/>
          <w:szCs w:val="20"/>
          <w:lang w:val="lt-LT"/>
        </w:rPr>
        <w:t>65,18 proc.</w:t>
      </w:r>
      <w:r w:rsidR="000E46F0" w:rsidRPr="00115D83">
        <w:rPr>
          <w:rFonts w:ascii="Arial" w:eastAsia="Arial Unicode MS" w:hAnsi="Arial" w:cs="Arial"/>
          <w:bCs/>
          <w:color w:val="212121"/>
          <w:sz w:val="20"/>
          <w:szCs w:val="20"/>
          <w:lang w:val="lt-LT"/>
        </w:rPr>
        <w:t>)</w:t>
      </w:r>
      <w:r w:rsidR="00DB638C" w:rsidRPr="00115D83">
        <w:rPr>
          <w:rFonts w:ascii="Arial" w:eastAsia="Arial Unicode MS" w:hAnsi="Arial" w:cs="Arial"/>
          <w:bCs/>
          <w:color w:val="212121"/>
          <w:sz w:val="20"/>
          <w:szCs w:val="20"/>
          <w:lang w:val="lt-LT"/>
        </w:rPr>
        <w:t xml:space="preserve">, o uždirbtas pelnas – </w:t>
      </w:r>
      <w:r w:rsidR="000E46F0" w:rsidRPr="00115D83">
        <w:rPr>
          <w:rFonts w:ascii="Arial" w:eastAsia="Arial Unicode MS" w:hAnsi="Arial" w:cs="Arial"/>
          <w:bCs/>
          <w:color w:val="212121"/>
          <w:sz w:val="20"/>
          <w:szCs w:val="20"/>
          <w:lang w:val="lt-LT"/>
        </w:rPr>
        <w:t>860 mln. Eur (</w:t>
      </w:r>
      <w:r w:rsidR="00DB638C" w:rsidRPr="00115D83">
        <w:rPr>
          <w:rFonts w:ascii="Arial" w:eastAsia="Arial Unicode MS" w:hAnsi="Arial" w:cs="Arial"/>
          <w:bCs/>
          <w:color w:val="212121"/>
          <w:sz w:val="20"/>
          <w:szCs w:val="20"/>
          <w:lang w:val="lt-LT"/>
        </w:rPr>
        <w:t>61 proc.</w:t>
      </w:r>
      <w:r w:rsidR="000E46F0" w:rsidRPr="00115D83">
        <w:rPr>
          <w:rFonts w:ascii="Arial" w:eastAsia="Arial Unicode MS" w:hAnsi="Arial" w:cs="Arial"/>
          <w:bCs/>
          <w:color w:val="212121"/>
          <w:sz w:val="20"/>
          <w:szCs w:val="20"/>
          <w:lang w:val="lt-LT"/>
        </w:rPr>
        <w:t>). Estijos įmonių sumažėjo iki 14, o bendrovių iš Latvijos skaičius išliko nepakitęs – 7.</w:t>
      </w:r>
      <w:r w:rsidRPr="00115D83">
        <w:rPr>
          <w:rFonts w:ascii="Arial" w:eastAsia="Arial Unicode MS" w:hAnsi="Arial" w:cs="Arial"/>
          <w:bCs/>
          <w:color w:val="212121"/>
          <w:sz w:val="20"/>
          <w:szCs w:val="20"/>
          <w:lang w:val="lt-LT"/>
        </w:rPr>
        <w:t xml:space="preserve"> </w:t>
      </w:r>
    </w:p>
    <w:p w:rsidR="007A3917" w:rsidRDefault="007A3917" w:rsidP="00115D83">
      <w:pPr>
        <w:jc w:val="both"/>
        <w:rPr>
          <w:rFonts w:ascii="Arial" w:eastAsia="Arial Unicode MS" w:hAnsi="Arial" w:cs="Arial"/>
          <w:bCs/>
          <w:color w:val="212121"/>
          <w:sz w:val="20"/>
          <w:szCs w:val="20"/>
          <w:lang w:val="lt-LT"/>
        </w:rPr>
      </w:pPr>
    </w:p>
    <w:p w:rsidR="007A3917" w:rsidRPr="00115D83" w:rsidRDefault="007A3917" w:rsidP="007A3917">
      <w:pPr>
        <w:jc w:val="both"/>
        <w:rPr>
          <w:rFonts w:ascii="Arial" w:eastAsia="Arial Unicode MS" w:hAnsi="Arial" w:cs="Arial"/>
          <w:b/>
          <w:color w:val="212121"/>
          <w:sz w:val="20"/>
          <w:szCs w:val="20"/>
          <w:lang w:val="lt-LT"/>
        </w:rPr>
      </w:pPr>
      <w:r w:rsidRPr="00115D83">
        <w:rPr>
          <w:rFonts w:ascii="Arial" w:eastAsia="Arial Unicode MS" w:hAnsi="Arial" w:cs="Arial"/>
          <w:b/>
          <w:color w:val="212121"/>
          <w:sz w:val="20"/>
          <w:szCs w:val="20"/>
          <w:lang w:val="lt-LT"/>
        </w:rPr>
        <w:t>Baltijos šalių ekonomiką augimo vidaus vartojimas ir eksportas</w:t>
      </w:r>
    </w:p>
    <w:p w:rsidR="007A3917" w:rsidRPr="00115D83" w:rsidRDefault="007A3917" w:rsidP="007A3917">
      <w:pPr>
        <w:jc w:val="both"/>
        <w:rPr>
          <w:rFonts w:ascii="Arial" w:eastAsia="Arial Unicode MS" w:hAnsi="Arial" w:cs="Arial"/>
          <w:bCs/>
          <w:color w:val="212121"/>
          <w:sz w:val="20"/>
          <w:szCs w:val="20"/>
          <w:lang w:val="lt-LT"/>
        </w:rPr>
      </w:pPr>
    </w:p>
    <w:p w:rsidR="007A3917" w:rsidRDefault="007A3917" w:rsidP="00115D83">
      <w:pPr>
        <w:jc w:val="both"/>
        <w:rPr>
          <w:rFonts w:ascii="Arial" w:eastAsia="Arial Unicode MS" w:hAnsi="Arial" w:cs="Arial"/>
          <w:bCs/>
          <w:color w:val="212121"/>
          <w:sz w:val="20"/>
          <w:szCs w:val="20"/>
          <w:lang w:val="lt-LT"/>
        </w:rPr>
      </w:pPr>
      <w:r w:rsidRPr="00115D83">
        <w:rPr>
          <w:rFonts w:ascii="Arial" w:eastAsia="Arial Unicode MS" w:hAnsi="Arial" w:cs="Arial"/>
          <w:bCs/>
          <w:color w:val="212121"/>
          <w:sz w:val="20"/>
          <w:szCs w:val="20"/>
          <w:lang w:val="lt-LT"/>
        </w:rPr>
        <w:t xml:space="preserve">Kaip teigė </w:t>
      </w:r>
      <w:r>
        <w:rPr>
          <w:rFonts w:ascii="Arial" w:eastAsia="Arial Unicode MS" w:hAnsi="Arial" w:cs="Arial"/>
          <w:bCs/>
          <w:color w:val="212121"/>
          <w:sz w:val="20"/>
          <w:szCs w:val="20"/>
          <w:lang w:val="lt-LT"/>
        </w:rPr>
        <w:t>„</w:t>
      </w:r>
      <w:r w:rsidRPr="00115D83">
        <w:rPr>
          <w:rFonts w:ascii="Arial" w:eastAsia="Arial Unicode MS" w:hAnsi="Arial" w:cs="Arial"/>
          <w:color w:val="212121"/>
          <w:sz w:val="20"/>
          <w:szCs w:val="20"/>
          <w:lang w:val="lt-LT"/>
        </w:rPr>
        <w:t>Mantvydas Štareika, „Coface Baltics“ generalinis direktorius</w:t>
      </w:r>
      <w:r>
        <w:rPr>
          <w:rFonts w:ascii="Arial" w:eastAsia="Arial Unicode MS" w:hAnsi="Arial" w:cs="Arial"/>
          <w:color w:val="212121"/>
          <w:sz w:val="20"/>
          <w:szCs w:val="20"/>
          <w:lang w:val="lt-LT"/>
        </w:rPr>
        <w:t>, B</w:t>
      </w:r>
      <w:r w:rsidRPr="00115D83">
        <w:rPr>
          <w:rFonts w:ascii="Arial" w:eastAsia="Arial Unicode MS" w:hAnsi="Arial" w:cs="Arial"/>
          <w:bCs/>
          <w:color w:val="212121"/>
          <w:sz w:val="20"/>
          <w:szCs w:val="20"/>
          <w:lang w:val="lt-LT"/>
        </w:rPr>
        <w:t xml:space="preserve">altijos regiono ekonomiką labiausiai augino vidaus paklausa. </w:t>
      </w:r>
      <w:r>
        <w:rPr>
          <w:rFonts w:ascii="Arial" w:eastAsia="Arial Unicode MS" w:hAnsi="Arial" w:cs="Arial"/>
          <w:bCs/>
          <w:color w:val="212121"/>
          <w:sz w:val="20"/>
          <w:szCs w:val="20"/>
          <w:lang w:val="lt-LT"/>
        </w:rPr>
        <w:t xml:space="preserve">Jo </w:t>
      </w:r>
      <w:r w:rsidRPr="00115D83">
        <w:rPr>
          <w:rFonts w:ascii="Arial" w:eastAsia="Arial Unicode MS" w:hAnsi="Arial" w:cs="Arial"/>
          <w:bCs/>
          <w:color w:val="212121"/>
          <w:sz w:val="20"/>
          <w:szCs w:val="20"/>
          <w:lang w:val="lt-LT"/>
        </w:rPr>
        <w:t>pastebėjimu, šalys naudojasi palankia padėtimi darbo rinkoje, taip pat atgauna investicijas į ilgalaikį turtą.</w:t>
      </w:r>
      <w:r>
        <w:rPr>
          <w:rFonts w:ascii="Arial" w:eastAsia="Arial Unicode MS" w:hAnsi="Arial" w:cs="Arial"/>
          <w:bCs/>
          <w:color w:val="212121"/>
          <w:sz w:val="20"/>
          <w:szCs w:val="20"/>
          <w:lang w:val="lt-LT"/>
        </w:rPr>
        <w:t xml:space="preserve"> </w:t>
      </w:r>
      <w:r w:rsidRPr="00115D83">
        <w:rPr>
          <w:rFonts w:ascii="Arial" w:eastAsia="Arial Unicode MS" w:hAnsi="Arial" w:cs="Arial"/>
          <w:bCs/>
          <w:color w:val="212121"/>
          <w:sz w:val="20"/>
          <w:szCs w:val="20"/>
          <w:lang w:val="lt-LT"/>
        </w:rPr>
        <w:t xml:space="preserve">Baltijos šalių valstybėms išlieka labai svarbi išorinė aplinka. Prekių ir paslaugų eksporto dalis, skaičiuojant nuo BVP, ypač didelė Lietuvoje ir Estijoje, kur praėjusiais metais ji atitinkamai siekė 82 proc. ir 72 proc.. Latvijoje šis rodiklis yra kiek mažesnis ir sudaro 59 proc. </w:t>
      </w:r>
    </w:p>
    <w:p w:rsidR="006B439D" w:rsidRDefault="006B439D" w:rsidP="00115D83">
      <w:pPr>
        <w:jc w:val="both"/>
        <w:rPr>
          <w:rFonts w:ascii="Arial" w:eastAsia="Arial Unicode MS" w:hAnsi="Arial" w:cs="Arial"/>
          <w:bCs/>
          <w:color w:val="212121"/>
          <w:sz w:val="20"/>
          <w:szCs w:val="20"/>
          <w:lang w:val="lt-LT"/>
        </w:rPr>
      </w:pPr>
    </w:p>
    <w:p w:rsidR="006B439D" w:rsidRPr="00547F35" w:rsidRDefault="006B439D" w:rsidP="006B439D">
      <w:pPr>
        <w:jc w:val="both"/>
        <w:rPr>
          <w:rFonts w:ascii="Arial" w:eastAsia="Arial Unicode MS" w:hAnsi="Arial" w:cs="Arial"/>
          <w:bCs/>
          <w:color w:val="212121"/>
          <w:sz w:val="20"/>
          <w:szCs w:val="20"/>
          <w:lang w:val="lt-LT"/>
        </w:rPr>
      </w:pPr>
      <w:r>
        <w:rPr>
          <w:rFonts w:ascii="Arial" w:eastAsia="Arial Unicode MS" w:hAnsi="Arial" w:cs="Arial"/>
          <w:color w:val="212121"/>
          <w:sz w:val="20"/>
          <w:szCs w:val="20"/>
          <w:lang w:val="lt-LT"/>
        </w:rPr>
        <w:t xml:space="preserve"> „Natūralu, kad didžiausią gyventojų skaičių ir darbo rinką turinti Lietuva turi didesnes galimybes patekti į didžiausių įmonių reitingus. Tačiau turime ko pasimokyti iš kaimyninių valstybių – pavyzdžiui, tarp trijų Baltijos šalių mažiausiai Estijai atstovauja net </w:t>
      </w:r>
      <w:r w:rsidRPr="00547F35">
        <w:rPr>
          <w:rFonts w:ascii="Arial" w:eastAsia="Arial Unicode MS" w:hAnsi="Arial" w:cs="Arial"/>
          <w:color w:val="212121"/>
          <w:sz w:val="20"/>
          <w:szCs w:val="20"/>
          <w:lang w:val="lt-LT"/>
        </w:rPr>
        <w:t>1</w:t>
      </w:r>
      <w:r>
        <w:rPr>
          <w:rFonts w:ascii="Arial" w:eastAsia="Arial Unicode MS" w:hAnsi="Arial" w:cs="Arial"/>
          <w:color w:val="212121"/>
          <w:sz w:val="20"/>
          <w:szCs w:val="20"/>
          <w:lang w:val="lt-LT"/>
        </w:rPr>
        <w:t>4</w:t>
      </w:r>
      <w:r w:rsidRPr="00547F35">
        <w:rPr>
          <w:rFonts w:ascii="Arial" w:eastAsia="Arial Unicode MS" w:hAnsi="Arial" w:cs="Arial"/>
          <w:color w:val="212121"/>
          <w:sz w:val="20"/>
          <w:szCs w:val="20"/>
          <w:lang w:val="lt-LT"/>
        </w:rPr>
        <w:t xml:space="preserve"> </w:t>
      </w:r>
      <w:r>
        <w:rPr>
          <w:rFonts w:ascii="Arial" w:eastAsia="Arial Unicode MS" w:hAnsi="Arial" w:cs="Arial"/>
          <w:color w:val="212121"/>
          <w:sz w:val="20"/>
          <w:szCs w:val="20"/>
          <w:lang w:val="lt-LT"/>
        </w:rPr>
        <w:t>bendrovių, kurių bendras rezultatas pasižymi kone dvigubai aukštesniu pelningumu, palyginus su Lietuvos ir Latvijos įmonėmis“</w:t>
      </w:r>
      <w:r w:rsidR="007A3917">
        <w:rPr>
          <w:rFonts w:ascii="Arial" w:eastAsia="Arial Unicode MS" w:hAnsi="Arial" w:cs="Arial"/>
          <w:color w:val="212121"/>
          <w:sz w:val="20"/>
          <w:szCs w:val="20"/>
          <w:lang w:val="lt-LT"/>
        </w:rPr>
        <w:t>,</w:t>
      </w:r>
      <w:r w:rsidR="00B436A5">
        <w:rPr>
          <w:rFonts w:ascii="Arial" w:eastAsia="Arial Unicode MS" w:hAnsi="Arial" w:cs="Arial"/>
          <w:color w:val="212121"/>
          <w:sz w:val="20"/>
          <w:szCs w:val="20"/>
          <w:lang w:val="lt-LT"/>
        </w:rPr>
        <w:t xml:space="preserve"> </w:t>
      </w:r>
      <w:r w:rsidR="00B436A5" w:rsidRPr="00115D83">
        <w:rPr>
          <w:rFonts w:ascii="Arial" w:eastAsia="Arial Unicode MS" w:hAnsi="Arial" w:cs="Arial"/>
          <w:bCs/>
          <w:color w:val="212121"/>
          <w:sz w:val="20"/>
          <w:szCs w:val="20"/>
          <w:lang w:val="lt-LT"/>
        </w:rPr>
        <w:t>–</w:t>
      </w:r>
      <w:r w:rsidR="00B436A5">
        <w:rPr>
          <w:rFonts w:ascii="Arial" w:eastAsia="Arial Unicode MS" w:hAnsi="Arial" w:cs="Arial"/>
          <w:bCs/>
          <w:color w:val="212121"/>
          <w:sz w:val="20"/>
          <w:szCs w:val="20"/>
          <w:lang w:val="lt-LT"/>
        </w:rPr>
        <w:t xml:space="preserve"> </w:t>
      </w:r>
      <w:r w:rsidR="007A3917">
        <w:rPr>
          <w:rFonts w:ascii="Arial" w:eastAsia="Arial Unicode MS" w:hAnsi="Arial" w:cs="Arial"/>
          <w:color w:val="212121"/>
          <w:sz w:val="20"/>
          <w:szCs w:val="20"/>
          <w:lang w:val="lt-LT"/>
        </w:rPr>
        <w:t xml:space="preserve">komentuodamas trijų šalių ekonominę situaciją sakė M. Štareika. </w:t>
      </w:r>
      <w:r>
        <w:rPr>
          <w:rFonts w:ascii="Arial" w:eastAsia="Arial Unicode MS" w:hAnsi="Arial" w:cs="Arial"/>
          <w:color w:val="212121"/>
          <w:sz w:val="20"/>
          <w:szCs w:val="20"/>
          <w:lang w:val="lt-LT"/>
        </w:rPr>
        <w:t xml:space="preserve"> </w:t>
      </w:r>
    </w:p>
    <w:p w:rsidR="00CE5FA5" w:rsidRDefault="00CE5FA5" w:rsidP="00115D83">
      <w:pPr>
        <w:jc w:val="both"/>
        <w:rPr>
          <w:rFonts w:ascii="Arial" w:eastAsia="Arial Unicode MS" w:hAnsi="Arial" w:cs="Arial"/>
          <w:bCs/>
          <w:color w:val="212121"/>
          <w:sz w:val="20"/>
          <w:szCs w:val="20"/>
          <w:lang w:val="lt-LT"/>
        </w:rPr>
      </w:pPr>
    </w:p>
    <w:p w:rsidR="00940EAA" w:rsidRPr="00940EAA" w:rsidRDefault="00940EAA" w:rsidP="00115D83">
      <w:pPr>
        <w:jc w:val="both"/>
        <w:rPr>
          <w:rFonts w:ascii="Arial" w:eastAsia="Arial Unicode MS" w:hAnsi="Arial" w:cs="Arial"/>
          <w:b/>
          <w:color w:val="212121"/>
          <w:sz w:val="20"/>
          <w:szCs w:val="20"/>
          <w:lang w:val="lt-LT"/>
        </w:rPr>
      </w:pPr>
      <w:r w:rsidRPr="00940EAA">
        <w:rPr>
          <w:rFonts w:ascii="Arial" w:eastAsia="Arial Unicode MS" w:hAnsi="Arial" w:cs="Arial"/>
          <w:b/>
          <w:color w:val="212121"/>
          <w:sz w:val="20"/>
          <w:szCs w:val="20"/>
          <w:lang w:val="lt-LT"/>
        </w:rPr>
        <w:t>Tarp trijų Baltijos šalių mažiausios Estijos įmonės dirba pelningiau</w:t>
      </w:r>
    </w:p>
    <w:p w:rsidR="00940EAA" w:rsidRDefault="00940EAA" w:rsidP="00115D83">
      <w:pPr>
        <w:jc w:val="both"/>
        <w:rPr>
          <w:rFonts w:ascii="Arial" w:eastAsia="Arial Unicode MS" w:hAnsi="Arial" w:cs="Arial"/>
          <w:bCs/>
          <w:color w:val="212121"/>
          <w:sz w:val="20"/>
          <w:szCs w:val="20"/>
          <w:lang w:val="lt-LT"/>
        </w:rPr>
      </w:pPr>
    </w:p>
    <w:p w:rsidR="00115D83" w:rsidRDefault="006B439D" w:rsidP="00115D83">
      <w:pPr>
        <w:jc w:val="both"/>
        <w:rPr>
          <w:rFonts w:ascii="Arial" w:eastAsia="Arial Unicode MS" w:hAnsi="Arial" w:cs="Arial"/>
          <w:bCs/>
          <w:color w:val="212121"/>
          <w:sz w:val="20"/>
          <w:szCs w:val="20"/>
          <w:lang w:val="lt-LT"/>
        </w:rPr>
      </w:pPr>
      <w:r>
        <w:rPr>
          <w:rFonts w:ascii="Arial" w:eastAsia="Arial Unicode MS" w:hAnsi="Arial" w:cs="Arial"/>
          <w:bCs/>
          <w:color w:val="212121"/>
          <w:sz w:val="20"/>
          <w:szCs w:val="20"/>
          <w:lang w:val="lt-LT"/>
        </w:rPr>
        <w:t>Iš tiesų, n</w:t>
      </w:r>
      <w:r w:rsidR="00115D83" w:rsidRPr="00115D83">
        <w:rPr>
          <w:rFonts w:ascii="Arial" w:eastAsia="Arial Unicode MS" w:hAnsi="Arial" w:cs="Arial"/>
          <w:bCs/>
          <w:color w:val="212121"/>
          <w:sz w:val="20"/>
          <w:szCs w:val="20"/>
          <w:lang w:val="lt-LT"/>
        </w:rPr>
        <w:t xml:space="preserve">ors lietuviškos įmonės dominuoja TOP 50 reitinge, </w:t>
      </w:r>
      <w:r>
        <w:rPr>
          <w:rFonts w:ascii="Arial" w:eastAsia="Arial Unicode MS" w:hAnsi="Arial" w:cs="Arial"/>
          <w:bCs/>
          <w:color w:val="212121"/>
          <w:sz w:val="20"/>
          <w:szCs w:val="20"/>
          <w:lang w:val="lt-LT"/>
        </w:rPr>
        <w:t xml:space="preserve">tačiau uždirbto pelno ir apyvartos santykis tarp į reitingą patekusių Estijos įmonių </w:t>
      </w:r>
      <w:r w:rsidR="00E1279E">
        <w:rPr>
          <w:rFonts w:ascii="Arial" w:eastAsia="Arial Unicode MS" w:hAnsi="Arial" w:cs="Arial"/>
          <w:bCs/>
          <w:color w:val="212121"/>
          <w:sz w:val="20"/>
          <w:szCs w:val="20"/>
          <w:lang w:val="lt-LT"/>
        </w:rPr>
        <w:t xml:space="preserve">pelningumas siekia </w:t>
      </w:r>
      <w:r w:rsidR="00E1279E" w:rsidRPr="00E1279E">
        <w:rPr>
          <w:rFonts w:ascii="Arial" w:eastAsia="Arial Unicode MS" w:hAnsi="Arial" w:cs="Arial"/>
          <w:bCs/>
          <w:color w:val="212121"/>
          <w:sz w:val="20"/>
          <w:szCs w:val="20"/>
          <w:lang w:val="lt-LT"/>
        </w:rPr>
        <w:t>4</w:t>
      </w:r>
      <w:r w:rsidR="00E1279E">
        <w:rPr>
          <w:rFonts w:ascii="Arial" w:eastAsia="Arial Unicode MS" w:hAnsi="Arial" w:cs="Arial"/>
          <w:bCs/>
          <w:color w:val="212121"/>
          <w:sz w:val="20"/>
          <w:szCs w:val="20"/>
          <w:lang w:val="lt-LT"/>
        </w:rPr>
        <w:t xml:space="preserve">,3 proc., tuo tarpu analogiški Lietuvos ir Latvijos įmonių rodikliai atitinkamai sudaro </w:t>
      </w:r>
      <w:r w:rsidR="00E1279E" w:rsidRPr="00E1279E">
        <w:rPr>
          <w:rFonts w:ascii="Arial" w:eastAsia="Arial Unicode MS" w:hAnsi="Arial" w:cs="Arial"/>
          <w:bCs/>
          <w:color w:val="212121"/>
          <w:sz w:val="20"/>
          <w:szCs w:val="20"/>
          <w:lang w:val="lt-LT"/>
        </w:rPr>
        <w:t>2</w:t>
      </w:r>
      <w:r w:rsidR="00E1279E">
        <w:rPr>
          <w:rFonts w:ascii="Arial" w:eastAsia="Arial Unicode MS" w:hAnsi="Arial" w:cs="Arial"/>
          <w:bCs/>
          <w:color w:val="212121"/>
          <w:sz w:val="20"/>
          <w:szCs w:val="20"/>
          <w:lang w:val="lt-LT"/>
        </w:rPr>
        <w:t>,9</w:t>
      </w:r>
      <w:r w:rsidR="00E1279E" w:rsidRPr="00E1279E">
        <w:rPr>
          <w:rFonts w:ascii="Arial" w:eastAsia="Arial Unicode MS" w:hAnsi="Arial" w:cs="Arial"/>
          <w:bCs/>
          <w:color w:val="212121"/>
          <w:sz w:val="20"/>
          <w:szCs w:val="20"/>
          <w:lang w:val="lt-LT"/>
        </w:rPr>
        <w:t xml:space="preserve"> </w:t>
      </w:r>
      <w:r w:rsidR="00E1279E">
        <w:rPr>
          <w:rFonts w:ascii="Arial" w:eastAsia="Arial Unicode MS" w:hAnsi="Arial" w:cs="Arial"/>
          <w:bCs/>
          <w:color w:val="212121"/>
          <w:sz w:val="20"/>
          <w:szCs w:val="20"/>
          <w:lang w:val="lt-LT"/>
        </w:rPr>
        <w:t xml:space="preserve">proc. ir </w:t>
      </w:r>
      <w:r w:rsidR="00E1279E" w:rsidRPr="00E1279E">
        <w:rPr>
          <w:rFonts w:ascii="Arial" w:eastAsia="Arial Unicode MS" w:hAnsi="Arial" w:cs="Arial"/>
          <w:bCs/>
          <w:color w:val="212121"/>
          <w:sz w:val="20"/>
          <w:szCs w:val="20"/>
          <w:lang w:val="lt-LT"/>
        </w:rPr>
        <w:t>2</w:t>
      </w:r>
      <w:r w:rsidR="00E1279E">
        <w:rPr>
          <w:rFonts w:ascii="Arial" w:eastAsia="Arial Unicode MS" w:hAnsi="Arial" w:cs="Arial"/>
          <w:bCs/>
          <w:color w:val="212121"/>
          <w:sz w:val="20"/>
          <w:szCs w:val="20"/>
          <w:lang w:val="lt-LT"/>
        </w:rPr>
        <w:t xml:space="preserve">,5 proc. Estija lenkia kitas Baltijos šalis ir pagal </w:t>
      </w:r>
      <w:r w:rsidR="00115D83" w:rsidRPr="00115D83">
        <w:rPr>
          <w:rFonts w:ascii="Arial" w:eastAsia="Arial Unicode MS" w:hAnsi="Arial" w:cs="Arial"/>
          <w:bCs/>
          <w:color w:val="212121"/>
          <w:sz w:val="20"/>
          <w:szCs w:val="20"/>
          <w:lang w:val="lt-LT"/>
        </w:rPr>
        <w:t>BVP dalį, tenkančią vienam gyventojui</w:t>
      </w:r>
      <w:r w:rsidR="00E1279E">
        <w:rPr>
          <w:rFonts w:ascii="Arial" w:eastAsia="Arial Unicode MS" w:hAnsi="Arial" w:cs="Arial"/>
          <w:bCs/>
          <w:color w:val="212121"/>
          <w:sz w:val="20"/>
          <w:szCs w:val="20"/>
          <w:lang w:val="lt-LT"/>
        </w:rPr>
        <w:t xml:space="preserve">: </w:t>
      </w:r>
      <w:r w:rsidR="00115D83" w:rsidRPr="00115D83">
        <w:rPr>
          <w:rFonts w:ascii="Arial" w:eastAsia="Arial Unicode MS" w:hAnsi="Arial" w:cs="Arial"/>
          <w:bCs/>
          <w:color w:val="212121"/>
          <w:sz w:val="20"/>
          <w:szCs w:val="20"/>
          <w:lang w:val="lt-LT"/>
        </w:rPr>
        <w:t>Estij</w:t>
      </w:r>
      <w:r w:rsidR="00E1279E">
        <w:rPr>
          <w:rFonts w:ascii="Arial" w:eastAsia="Arial Unicode MS" w:hAnsi="Arial" w:cs="Arial"/>
          <w:bCs/>
          <w:color w:val="212121"/>
          <w:sz w:val="20"/>
          <w:szCs w:val="20"/>
          <w:lang w:val="lt-LT"/>
        </w:rPr>
        <w:t xml:space="preserve">oje vienam gyventojui tenka </w:t>
      </w:r>
      <w:r w:rsidR="00115D83" w:rsidRPr="00115D83">
        <w:rPr>
          <w:rFonts w:ascii="Arial" w:eastAsia="Arial Unicode MS" w:hAnsi="Arial" w:cs="Arial"/>
          <w:bCs/>
          <w:color w:val="212121"/>
          <w:sz w:val="20"/>
          <w:szCs w:val="20"/>
          <w:lang w:val="lt-LT"/>
        </w:rPr>
        <w:t>19.500</w:t>
      </w:r>
      <w:r w:rsidR="00E1279E">
        <w:rPr>
          <w:rFonts w:ascii="Arial" w:eastAsia="Arial Unicode MS" w:hAnsi="Arial" w:cs="Arial"/>
          <w:bCs/>
          <w:color w:val="212121"/>
          <w:sz w:val="20"/>
          <w:szCs w:val="20"/>
          <w:lang w:val="lt-LT"/>
        </w:rPr>
        <w:t xml:space="preserve"> </w:t>
      </w:r>
      <w:r w:rsidR="00115D83" w:rsidRPr="00115D83">
        <w:rPr>
          <w:rFonts w:ascii="Arial" w:eastAsia="Arial Unicode MS" w:hAnsi="Arial" w:cs="Arial"/>
          <w:bCs/>
          <w:color w:val="212121"/>
          <w:sz w:val="20"/>
          <w:szCs w:val="20"/>
          <w:lang w:val="lt-LT"/>
        </w:rPr>
        <w:t>Eur</w:t>
      </w:r>
      <w:r w:rsidR="00E1279E">
        <w:rPr>
          <w:rFonts w:ascii="Arial" w:eastAsia="Arial Unicode MS" w:hAnsi="Arial" w:cs="Arial"/>
          <w:bCs/>
          <w:color w:val="212121"/>
          <w:sz w:val="20"/>
          <w:szCs w:val="20"/>
          <w:lang w:val="lt-LT"/>
        </w:rPr>
        <w:t xml:space="preserve">, Lietuvoje - </w:t>
      </w:r>
      <w:r w:rsidR="00115D83" w:rsidRPr="00115D83">
        <w:rPr>
          <w:rFonts w:ascii="Arial" w:eastAsia="Arial Unicode MS" w:hAnsi="Arial" w:cs="Arial"/>
          <w:bCs/>
          <w:color w:val="212121"/>
          <w:sz w:val="20"/>
          <w:szCs w:val="20"/>
          <w:lang w:val="lt-LT"/>
        </w:rPr>
        <w:t>16.100 Eur</w:t>
      </w:r>
      <w:r w:rsidR="00E1279E">
        <w:rPr>
          <w:rFonts w:ascii="Arial" w:eastAsia="Arial Unicode MS" w:hAnsi="Arial" w:cs="Arial"/>
          <w:bCs/>
          <w:color w:val="212121"/>
          <w:sz w:val="20"/>
          <w:szCs w:val="20"/>
          <w:lang w:val="lt-LT"/>
        </w:rPr>
        <w:t xml:space="preserve">, o </w:t>
      </w:r>
      <w:r w:rsidR="00115D83" w:rsidRPr="00115D83">
        <w:rPr>
          <w:rFonts w:ascii="Arial" w:eastAsia="Arial Unicode MS" w:hAnsi="Arial" w:cs="Arial"/>
          <w:bCs/>
          <w:color w:val="212121"/>
          <w:sz w:val="20"/>
          <w:szCs w:val="20"/>
          <w:lang w:val="lt-LT"/>
        </w:rPr>
        <w:t>Latvij</w:t>
      </w:r>
      <w:r w:rsidR="00E1279E">
        <w:rPr>
          <w:rFonts w:ascii="Arial" w:eastAsia="Arial Unicode MS" w:hAnsi="Arial" w:cs="Arial"/>
          <w:bCs/>
          <w:color w:val="212121"/>
          <w:sz w:val="20"/>
          <w:szCs w:val="20"/>
          <w:lang w:val="lt-LT"/>
        </w:rPr>
        <w:t xml:space="preserve">oje - </w:t>
      </w:r>
      <w:r w:rsidR="00115D83" w:rsidRPr="00115D83">
        <w:rPr>
          <w:rFonts w:ascii="Arial" w:eastAsia="Arial Unicode MS" w:hAnsi="Arial" w:cs="Arial"/>
          <w:bCs/>
          <w:color w:val="212121"/>
          <w:sz w:val="20"/>
          <w:szCs w:val="20"/>
          <w:lang w:val="lt-LT"/>
        </w:rPr>
        <w:t>15.300</w:t>
      </w:r>
      <w:r w:rsidR="00E1279E">
        <w:rPr>
          <w:rFonts w:ascii="Arial" w:eastAsia="Arial Unicode MS" w:hAnsi="Arial" w:cs="Arial"/>
          <w:bCs/>
          <w:color w:val="212121"/>
          <w:sz w:val="20"/>
          <w:szCs w:val="20"/>
          <w:lang w:val="lt-LT"/>
        </w:rPr>
        <w:t xml:space="preserve">. </w:t>
      </w:r>
    </w:p>
    <w:p w:rsidR="004F6D2E" w:rsidRPr="004F6D2E" w:rsidRDefault="004F6D2E" w:rsidP="00115D83">
      <w:pPr>
        <w:jc w:val="both"/>
        <w:rPr>
          <w:rFonts w:ascii="Arial" w:eastAsia="Arial Unicode MS" w:hAnsi="Arial" w:cs="Arial"/>
          <w:bCs/>
          <w:color w:val="212121"/>
          <w:sz w:val="20"/>
          <w:szCs w:val="20"/>
          <w:lang w:val="lt-LT"/>
        </w:rPr>
      </w:pPr>
      <w:r>
        <w:rPr>
          <w:rFonts w:ascii="Arial" w:eastAsia="Arial Unicode MS" w:hAnsi="Arial" w:cs="Arial"/>
          <w:bCs/>
          <w:color w:val="212121"/>
          <w:sz w:val="20"/>
          <w:szCs w:val="20"/>
          <w:lang w:val="lt-LT"/>
        </w:rPr>
        <w:t xml:space="preserve">„Coface“ TOP 50 reitinge esančioje ekonominėje apžvalgoje pažymima, kad </w:t>
      </w:r>
      <w:r w:rsidRPr="004F6D2E">
        <w:rPr>
          <w:rFonts w:ascii="Arial" w:eastAsia="Arial Unicode MS" w:hAnsi="Arial" w:cs="Arial"/>
          <w:bCs/>
          <w:color w:val="212121"/>
          <w:sz w:val="20"/>
          <w:szCs w:val="20"/>
          <w:lang w:val="lt-LT"/>
        </w:rPr>
        <w:t xml:space="preserve">2018 </w:t>
      </w:r>
      <w:r>
        <w:rPr>
          <w:rFonts w:ascii="Arial" w:eastAsia="Arial Unicode MS" w:hAnsi="Arial" w:cs="Arial"/>
          <w:bCs/>
          <w:color w:val="212121"/>
          <w:sz w:val="20"/>
          <w:szCs w:val="20"/>
          <w:lang w:val="lt-LT"/>
        </w:rPr>
        <w:t xml:space="preserve">metais gyventojų skaičius ir darbo rinkos dydis Baltijos šalyse buvo vertinamas taip: Lietuvoje – </w:t>
      </w:r>
      <w:r w:rsidRPr="004F6D2E">
        <w:rPr>
          <w:rFonts w:ascii="Arial" w:eastAsia="Arial Unicode MS" w:hAnsi="Arial" w:cs="Arial"/>
          <w:bCs/>
          <w:color w:val="212121"/>
          <w:sz w:val="20"/>
          <w:szCs w:val="20"/>
          <w:lang w:val="lt-LT"/>
        </w:rPr>
        <w:t>2</w:t>
      </w:r>
      <w:r>
        <w:rPr>
          <w:rFonts w:ascii="Arial" w:eastAsia="Arial Unicode MS" w:hAnsi="Arial" w:cs="Arial"/>
          <w:bCs/>
          <w:color w:val="212121"/>
          <w:sz w:val="20"/>
          <w:szCs w:val="20"/>
          <w:lang w:val="lt-LT"/>
        </w:rPr>
        <w:t xml:space="preserve">,8 mln. ir 1,3 mln., Latvijoje – 1,9 mln. ir 0,9 mln., o Estijoje – 1,3 mln. ir 0,6 mln. </w:t>
      </w:r>
    </w:p>
    <w:p w:rsidR="00256758" w:rsidRDefault="00256758" w:rsidP="00115D83">
      <w:pPr>
        <w:jc w:val="both"/>
        <w:rPr>
          <w:rFonts w:ascii="Arial" w:eastAsia="Arial Unicode MS" w:hAnsi="Arial" w:cs="Arial"/>
          <w:bCs/>
          <w:color w:val="212121"/>
          <w:sz w:val="20"/>
          <w:szCs w:val="20"/>
          <w:lang w:val="lt-LT"/>
        </w:rPr>
      </w:pPr>
    </w:p>
    <w:p w:rsidR="00940EAA" w:rsidRPr="00115D83" w:rsidRDefault="00940EAA" w:rsidP="00940EAA">
      <w:pPr>
        <w:widowControl/>
        <w:jc w:val="both"/>
        <w:rPr>
          <w:rFonts w:ascii="Arial" w:eastAsia="Arial Unicode MS" w:hAnsi="Arial" w:cs="Arial"/>
          <w:b/>
          <w:color w:val="212121"/>
          <w:sz w:val="20"/>
          <w:szCs w:val="20"/>
          <w:lang w:val="lt-LT"/>
        </w:rPr>
      </w:pPr>
      <w:r w:rsidRPr="00115D83">
        <w:rPr>
          <w:rFonts w:ascii="Arial" w:eastAsia="Arial Unicode MS" w:hAnsi="Arial" w:cs="Arial"/>
          <w:b/>
          <w:color w:val="212121"/>
          <w:sz w:val="20"/>
          <w:szCs w:val="20"/>
          <w:lang w:val="lt-LT"/>
        </w:rPr>
        <w:t>Didžiausių įmonių trejetuką sudaro lietuviškos bendrovės</w:t>
      </w:r>
    </w:p>
    <w:p w:rsidR="00DB638C" w:rsidRPr="00115D83" w:rsidRDefault="00DB638C" w:rsidP="00DB638C">
      <w:pPr>
        <w:jc w:val="both"/>
        <w:rPr>
          <w:rFonts w:ascii="Arial" w:eastAsia="Arial Unicode MS" w:hAnsi="Arial" w:cs="Arial"/>
          <w:b/>
          <w:color w:val="212121"/>
          <w:sz w:val="20"/>
          <w:szCs w:val="20"/>
          <w:lang w:val="lt-LT"/>
        </w:rPr>
      </w:pPr>
    </w:p>
    <w:p w:rsidR="00DB638C" w:rsidRPr="00115D83" w:rsidRDefault="00DB638C" w:rsidP="000E46F0">
      <w:pPr>
        <w:widowControl/>
        <w:jc w:val="both"/>
        <w:rPr>
          <w:rFonts w:ascii="Arial" w:eastAsia="Arial Unicode MS" w:hAnsi="Arial" w:cs="Arial"/>
          <w:bCs/>
          <w:color w:val="212121"/>
          <w:sz w:val="20"/>
          <w:szCs w:val="20"/>
          <w:lang w:val="lt-LT"/>
        </w:rPr>
      </w:pPr>
      <w:r w:rsidRPr="00115D83">
        <w:rPr>
          <w:rFonts w:ascii="Arial" w:eastAsia="Arial Unicode MS" w:hAnsi="Arial" w:cs="Arial"/>
          <w:bCs/>
          <w:color w:val="212121"/>
          <w:sz w:val="20"/>
          <w:szCs w:val="20"/>
          <w:lang w:val="lt-LT"/>
        </w:rPr>
        <w:t xml:space="preserve">Pirmųjų trijų didžiausių įmonių pozicijas, kaip ir pernai, išlaikė „Orlen Lietuva“ (1), „Vilniaus prekyba“ (2) ir  „Maxima grupė“ (3), tačiau reitingo naujokė – iš karto į </w:t>
      </w:r>
      <w:r w:rsidR="000E46F0" w:rsidRPr="00115D83">
        <w:rPr>
          <w:rFonts w:ascii="Arial" w:eastAsia="Arial Unicode MS" w:hAnsi="Arial" w:cs="Arial"/>
          <w:bCs/>
          <w:color w:val="212121"/>
          <w:sz w:val="20"/>
          <w:szCs w:val="20"/>
          <w:lang w:val="lt-LT"/>
        </w:rPr>
        <w:t xml:space="preserve">4-tą </w:t>
      </w:r>
      <w:r w:rsidRPr="00115D83">
        <w:rPr>
          <w:rFonts w:ascii="Arial" w:eastAsia="Arial Unicode MS" w:hAnsi="Arial" w:cs="Arial"/>
          <w:bCs/>
          <w:color w:val="212121"/>
          <w:sz w:val="20"/>
          <w:szCs w:val="20"/>
          <w:lang w:val="lt-LT"/>
        </w:rPr>
        <w:t xml:space="preserve">vietą patekusi Latvijos įmonė „Uralkali Trading SIA“ – į reitingo apačią </w:t>
      </w:r>
      <w:r w:rsidR="000E46F0" w:rsidRPr="00115D83">
        <w:rPr>
          <w:rFonts w:ascii="Arial" w:eastAsia="Arial Unicode MS" w:hAnsi="Arial" w:cs="Arial"/>
          <w:bCs/>
          <w:color w:val="212121"/>
          <w:sz w:val="20"/>
          <w:szCs w:val="20"/>
          <w:lang w:val="lt-LT"/>
        </w:rPr>
        <w:t>nu</w:t>
      </w:r>
      <w:r w:rsidRPr="00115D83">
        <w:rPr>
          <w:rFonts w:ascii="Arial" w:eastAsia="Arial Unicode MS" w:hAnsi="Arial" w:cs="Arial"/>
          <w:bCs/>
          <w:color w:val="212121"/>
          <w:sz w:val="20"/>
          <w:szCs w:val="20"/>
          <w:lang w:val="lt-LT"/>
        </w:rPr>
        <w:t xml:space="preserve">stūmė daugelį kitų </w:t>
      </w:r>
      <w:r w:rsidR="000E46F0" w:rsidRPr="00115D83">
        <w:rPr>
          <w:rFonts w:ascii="Arial" w:eastAsia="Arial Unicode MS" w:hAnsi="Arial" w:cs="Arial"/>
          <w:bCs/>
          <w:color w:val="212121"/>
          <w:sz w:val="20"/>
          <w:szCs w:val="20"/>
          <w:lang w:val="lt-LT"/>
        </w:rPr>
        <w:t xml:space="preserve">bendrovių, </w:t>
      </w:r>
      <w:r w:rsidRPr="00115D83">
        <w:rPr>
          <w:rFonts w:ascii="Arial" w:eastAsia="Arial Unicode MS" w:hAnsi="Arial" w:cs="Arial"/>
          <w:bCs/>
          <w:color w:val="212121"/>
          <w:sz w:val="20"/>
          <w:szCs w:val="20"/>
          <w:lang w:val="lt-LT"/>
        </w:rPr>
        <w:t xml:space="preserve">pernai reitinge užėmusių aukštesnes vietas. </w:t>
      </w:r>
    </w:p>
    <w:p w:rsidR="000E46F0" w:rsidRPr="00115D83" w:rsidRDefault="000E46F0" w:rsidP="000E46F0">
      <w:pPr>
        <w:widowControl/>
        <w:jc w:val="both"/>
        <w:rPr>
          <w:rFonts w:ascii="Arial" w:eastAsia="Arial Unicode MS" w:hAnsi="Arial" w:cs="Arial"/>
          <w:bCs/>
          <w:color w:val="212121"/>
          <w:sz w:val="20"/>
          <w:szCs w:val="20"/>
          <w:lang w:val="lt-LT"/>
        </w:rPr>
      </w:pPr>
    </w:p>
    <w:p w:rsidR="000E46F0" w:rsidRPr="00115D83" w:rsidRDefault="000E46F0" w:rsidP="000E46F0">
      <w:pPr>
        <w:widowControl/>
        <w:jc w:val="both"/>
        <w:rPr>
          <w:rFonts w:ascii="Arial" w:eastAsia="Arial Unicode MS" w:hAnsi="Arial" w:cs="Arial"/>
          <w:bCs/>
          <w:color w:val="212121"/>
          <w:sz w:val="20"/>
          <w:szCs w:val="20"/>
          <w:lang w:val="lt-LT"/>
        </w:rPr>
      </w:pPr>
      <w:r w:rsidRPr="00115D83">
        <w:rPr>
          <w:rFonts w:ascii="Arial" w:eastAsia="Arial Unicode MS" w:hAnsi="Arial" w:cs="Arial"/>
          <w:bCs/>
          <w:color w:val="212121"/>
          <w:sz w:val="20"/>
          <w:szCs w:val="20"/>
          <w:lang w:val="lt-LT"/>
        </w:rPr>
        <w:t xml:space="preserve">Didžiausia Baltijos šalyse „Orlen Lietuva“ pernai pasiekė 4,706 mlrd. Eur apyvartos (17,5 proc. daugiau, nei prieš metus), tačiau uždirbo 88,8 proc. mažiau pelno (23,8 mln. Eur 2018 metais, palyginus su 211,5 mln. Eur 2017 metais). Antroje reitingo pozicijoje esanti „Vilniaus prekyba“ pernai pasiekė 4.241 mlrd. Eur apyvartos (29,2 proc. daugiau, nei prieš metus) ir uždirbo </w:t>
      </w:r>
      <w:r w:rsidR="00AC256C" w:rsidRPr="00115D83">
        <w:rPr>
          <w:rFonts w:ascii="Arial" w:eastAsia="Arial Unicode MS" w:hAnsi="Arial" w:cs="Arial"/>
          <w:bCs/>
          <w:color w:val="212121"/>
          <w:sz w:val="20"/>
          <w:szCs w:val="20"/>
          <w:lang w:val="lt-LT"/>
        </w:rPr>
        <w:t xml:space="preserve">227,6 mln. Eur pelno – tai 31,4 proc. daugiau, nei 2017 metais. Trečiojoje reitingo pozicijoje išsilaikiusios  „Maxima grupės“ apyvarta pernai sudarė 3,451 mlrd. Eur (22,1 proc. daugiau, nei </w:t>
      </w:r>
      <w:r w:rsidR="00D7626A" w:rsidRPr="00115D83">
        <w:rPr>
          <w:rFonts w:ascii="Arial" w:eastAsia="Arial Unicode MS" w:hAnsi="Arial" w:cs="Arial"/>
          <w:bCs/>
          <w:color w:val="212121"/>
          <w:sz w:val="20"/>
          <w:szCs w:val="20"/>
          <w:lang w:val="lt-LT"/>
        </w:rPr>
        <w:t>prieš</w:t>
      </w:r>
      <w:r w:rsidR="00AC256C" w:rsidRPr="00115D83">
        <w:rPr>
          <w:rFonts w:ascii="Arial" w:eastAsia="Arial Unicode MS" w:hAnsi="Arial" w:cs="Arial"/>
          <w:bCs/>
          <w:color w:val="212121"/>
          <w:sz w:val="20"/>
          <w:szCs w:val="20"/>
          <w:lang w:val="lt-LT"/>
        </w:rPr>
        <w:t xml:space="preserve"> metus), o pelnas siekė 116,7 mln. Eur (55,9 proc. daugiau, nei 2017 metais). </w:t>
      </w:r>
    </w:p>
    <w:p w:rsidR="00AC256C" w:rsidRPr="00115D83" w:rsidRDefault="00AC256C" w:rsidP="000E46F0">
      <w:pPr>
        <w:widowControl/>
        <w:jc w:val="both"/>
        <w:rPr>
          <w:rFonts w:ascii="Arial" w:eastAsia="Arial Unicode MS" w:hAnsi="Arial" w:cs="Arial"/>
          <w:bCs/>
          <w:color w:val="212121"/>
          <w:sz w:val="20"/>
          <w:szCs w:val="20"/>
          <w:lang w:val="lt-LT"/>
        </w:rPr>
      </w:pPr>
    </w:p>
    <w:p w:rsidR="000E46F0" w:rsidRPr="00115D83" w:rsidRDefault="00E05DD8" w:rsidP="000E46F0">
      <w:pPr>
        <w:widowControl/>
        <w:jc w:val="both"/>
        <w:rPr>
          <w:rFonts w:ascii="Arial" w:eastAsia="Arial Unicode MS" w:hAnsi="Arial" w:cs="Arial"/>
          <w:b/>
          <w:color w:val="212121"/>
          <w:sz w:val="20"/>
          <w:szCs w:val="20"/>
          <w:lang w:val="lt-LT"/>
        </w:rPr>
      </w:pPr>
      <w:r w:rsidRPr="00115D83">
        <w:rPr>
          <w:rFonts w:ascii="Arial" w:eastAsia="Arial Unicode MS" w:hAnsi="Arial" w:cs="Arial"/>
          <w:b/>
          <w:color w:val="212121"/>
          <w:sz w:val="20"/>
          <w:szCs w:val="20"/>
          <w:lang w:val="lt-LT"/>
        </w:rPr>
        <w:t xml:space="preserve">Labiausiai kilo „Euroaphoteca“, </w:t>
      </w:r>
      <w:r w:rsidR="005C68B3" w:rsidRPr="00115D83">
        <w:rPr>
          <w:rFonts w:ascii="Arial" w:eastAsia="Arial Unicode MS" w:hAnsi="Arial" w:cs="Arial"/>
          <w:b/>
          <w:color w:val="212121"/>
          <w:sz w:val="20"/>
          <w:szCs w:val="20"/>
          <w:lang w:val="lt-LT"/>
        </w:rPr>
        <w:t xml:space="preserve">pirmąkart į reitingą pateko lietuviškos „VG Holding“ ir „Kauno grūdai“ </w:t>
      </w:r>
      <w:r w:rsidRPr="00115D83">
        <w:rPr>
          <w:rFonts w:ascii="Arial" w:eastAsia="Arial Unicode MS" w:hAnsi="Arial" w:cs="Arial"/>
          <w:b/>
          <w:color w:val="212121"/>
          <w:sz w:val="20"/>
          <w:szCs w:val="20"/>
          <w:lang w:val="lt-LT"/>
        </w:rPr>
        <w:t xml:space="preserve"> </w:t>
      </w:r>
    </w:p>
    <w:p w:rsidR="00E05DD8" w:rsidRPr="00115D83" w:rsidRDefault="00E05DD8" w:rsidP="000E46F0">
      <w:pPr>
        <w:widowControl/>
        <w:jc w:val="both"/>
        <w:rPr>
          <w:rFonts w:ascii="Arial" w:eastAsia="Arial Unicode MS" w:hAnsi="Arial" w:cs="Arial"/>
          <w:bCs/>
          <w:color w:val="212121"/>
          <w:sz w:val="20"/>
          <w:szCs w:val="20"/>
          <w:lang w:val="lt-LT"/>
        </w:rPr>
      </w:pPr>
    </w:p>
    <w:p w:rsidR="00E05DD8" w:rsidRPr="00115D83" w:rsidRDefault="00E05DD8" w:rsidP="00E05DD8">
      <w:pPr>
        <w:widowControl/>
        <w:jc w:val="both"/>
        <w:rPr>
          <w:rFonts w:ascii="Arial" w:eastAsia="Arial Unicode MS" w:hAnsi="Arial" w:cs="Arial"/>
          <w:bCs/>
          <w:color w:val="212121"/>
          <w:sz w:val="20"/>
          <w:szCs w:val="20"/>
          <w:lang w:val="lt-LT"/>
        </w:rPr>
      </w:pPr>
      <w:r w:rsidRPr="00115D83">
        <w:rPr>
          <w:rFonts w:ascii="Arial" w:eastAsia="Arial Unicode MS" w:hAnsi="Arial" w:cs="Arial"/>
          <w:bCs/>
          <w:color w:val="212121"/>
          <w:sz w:val="20"/>
          <w:szCs w:val="20"/>
          <w:lang w:val="lt-LT"/>
        </w:rPr>
        <w:t xml:space="preserve">Iš visų į reitingą patekusių įmonių labiausiai augo lietuviškoji „Euroaphoteca“, pagerinusi vietą reitinge 25 pozicijomis ir šiemet užėmusį 22-ą vietą (pernai buvo 47). Šios bendrovės apyvarta pernai sudarė 683 mln. Eur – tai 86 proc. daugiau, nei prieš metus. </w:t>
      </w:r>
    </w:p>
    <w:p w:rsidR="00E05DD8" w:rsidRPr="00115D83" w:rsidRDefault="00E05DD8" w:rsidP="000E46F0">
      <w:pPr>
        <w:widowControl/>
        <w:jc w:val="both"/>
        <w:rPr>
          <w:rFonts w:ascii="Arial" w:eastAsia="Arial Unicode MS" w:hAnsi="Arial" w:cs="Arial"/>
          <w:bCs/>
          <w:color w:val="212121"/>
          <w:sz w:val="20"/>
          <w:szCs w:val="20"/>
          <w:lang w:val="lt-LT"/>
        </w:rPr>
      </w:pPr>
    </w:p>
    <w:p w:rsidR="00DB638C" w:rsidRPr="00115D83" w:rsidRDefault="00DB638C" w:rsidP="000E46F0">
      <w:pPr>
        <w:widowControl/>
        <w:jc w:val="both"/>
        <w:rPr>
          <w:rFonts w:ascii="Arial" w:eastAsia="Arial Unicode MS" w:hAnsi="Arial" w:cs="Arial"/>
          <w:bCs/>
          <w:color w:val="212121"/>
          <w:sz w:val="20"/>
          <w:szCs w:val="20"/>
          <w:lang w:val="lt-LT"/>
        </w:rPr>
      </w:pPr>
      <w:r w:rsidRPr="00115D83">
        <w:rPr>
          <w:rFonts w:ascii="Arial" w:eastAsia="Arial Unicode MS" w:hAnsi="Arial" w:cs="Arial"/>
          <w:bCs/>
          <w:color w:val="212121"/>
          <w:sz w:val="20"/>
          <w:szCs w:val="20"/>
          <w:lang w:val="lt-LT"/>
        </w:rPr>
        <w:t>Pirmą kartą į TOP 50 reitingą pateko dvi lietuviškos įmonės: „VG Holding“ (32 vieta) ir „Kauno grūdai“ (34 vieta)</w:t>
      </w:r>
      <w:r w:rsidR="00E05DD8" w:rsidRPr="00115D83">
        <w:rPr>
          <w:rFonts w:ascii="Arial" w:eastAsia="Arial Unicode MS" w:hAnsi="Arial" w:cs="Arial"/>
          <w:bCs/>
          <w:color w:val="212121"/>
          <w:sz w:val="20"/>
          <w:szCs w:val="20"/>
          <w:lang w:val="lt-LT"/>
        </w:rPr>
        <w:t xml:space="preserve">, kurių apyvartos 2018 metais atitinkamai siekė 531 mln. Eur (augo 8,7 proc.) ir 524 mln. Eur (augo 12,1 proc.). </w:t>
      </w:r>
    </w:p>
    <w:p w:rsidR="00E05DD8" w:rsidRPr="00115D83" w:rsidRDefault="00E05DD8" w:rsidP="000E46F0">
      <w:pPr>
        <w:widowControl/>
        <w:jc w:val="both"/>
        <w:rPr>
          <w:rFonts w:ascii="Arial" w:eastAsia="Arial Unicode MS" w:hAnsi="Arial" w:cs="Arial"/>
          <w:bCs/>
          <w:color w:val="212121"/>
          <w:sz w:val="20"/>
          <w:szCs w:val="20"/>
          <w:lang w:val="lt-LT"/>
        </w:rPr>
      </w:pPr>
    </w:p>
    <w:p w:rsidR="008F681C" w:rsidRPr="00115D83" w:rsidRDefault="007F1066" w:rsidP="000E46F0">
      <w:pPr>
        <w:widowControl/>
        <w:jc w:val="both"/>
        <w:rPr>
          <w:rFonts w:ascii="Arial" w:eastAsia="Arial Unicode MS" w:hAnsi="Arial" w:cs="Arial"/>
          <w:b/>
          <w:color w:val="212121"/>
          <w:sz w:val="20"/>
          <w:szCs w:val="20"/>
          <w:lang w:val="lt-LT"/>
        </w:rPr>
      </w:pPr>
      <w:r w:rsidRPr="00115D83">
        <w:rPr>
          <w:rFonts w:ascii="Arial" w:eastAsia="Arial Unicode MS" w:hAnsi="Arial" w:cs="Arial"/>
          <w:b/>
          <w:color w:val="212121"/>
          <w:sz w:val="20"/>
          <w:szCs w:val="20"/>
          <w:lang w:val="lt-LT"/>
        </w:rPr>
        <w:t xml:space="preserve">Smuko </w:t>
      </w:r>
      <w:r w:rsidR="008F681C" w:rsidRPr="00115D83">
        <w:rPr>
          <w:rFonts w:ascii="Arial" w:eastAsia="Arial Unicode MS" w:hAnsi="Arial" w:cs="Arial"/>
          <w:b/>
          <w:color w:val="212121"/>
          <w:sz w:val="20"/>
          <w:szCs w:val="20"/>
          <w:lang w:val="lt-LT"/>
        </w:rPr>
        <w:t>„Linas Agro“ ir „Acme Group“</w:t>
      </w:r>
      <w:r w:rsidRPr="00115D83">
        <w:rPr>
          <w:rFonts w:ascii="Arial" w:eastAsia="Arial Unicode MS" w:hAnsi="Arial" w:cs="Arial"/>
          <w:b/>
          <w:color w:val="212121"/>
          <w:sz w:val="20"/>
          <w:szCs w:val="20"/>
          <w:lang w:val="lt-LT"/>
        </w:rPr>
        <w:t>, iš reitingo iškrito „SBA baldų kompanija“, „Telia Lietuva“ ir „Achema“</w:t>
      </w:r>
    </w:p>
    <w:p w:rsidR="008F681C" w:rsidRPr="00115D83" w:rsidRDefault="008F681C" w:rsidP="000E46F0">
      <w:pPr>
        <w:widowControl/>
        <w:jc w:val="both"/>
        <w:rPr>
          <w:rFonts w:ascii="Arial" w:eastAsia="Arial Unicode MS" w:hAnsi="Arial" w:cs="Arial"/>
          <w:bCs/>
          <w:color w:val="212121"/>
          <w:sz w:val="20"/>
          <w:szCs w:val="20"/>
          <w:lang w:val="lt-LT"/>
        </w:rPr>
      </w:pPr>
    </w:p>
    <w:p w:rsidR="001E54FF" w:rsidRPr="00115D83" w:rsidRDefault="001E54FF" w:rsidP="000E46F0">
      <w:pPr>
        <w:widowControl/>
        <w:jc w:val="both"/>
        <w:rPr>
          <w:rFonts w:ascii="Arial" w:eastAsia="Arial Unicode MS" w:hAnsi="Arial" w:cs="Arial"/>
          <w:bCs/>
          <w:color w:val="212121"/>
          <w:sz w:val="20"/>
          <w:szCs w:val="20"/>
          <w:lang w:val="lt-LT"/>
        </w:rPr>
      </w:pPr>
      <w:r w:rsidRPr="00115D83">
        <w:rPr>
          <w:rFonts w:ascii="Arial" w:eastAsia="Arial Unicode MS" w:hAnsi="Arial" w:cs="Arial"/>
          <w:bCs/>
          <w:color w:val="212121"/>
          <w:sz w:val="20"/>
          <w:szCs w:val="20"/>
          <w:lang w:val="lt-LT"/>
        </w:rPr>
        <w:t>Nors didžiausių įmonių reitinge išsilaikė, tačiau net 28 pozicijomis</w:t>
      </w:r>
      <w:r w:rsidR="000D4A10">
        <w:rPr>
          <w:rFonts w:ascii="Arial" w:eastAsia="Arial Unicode MS" w:hAnsi="Arial" w:cs="Arial"/>
          <w:bCs/>
          <w:color w:val="212121"/>
          <w:sz w:val="20"/>
          <w:szCs w:val="20"/>
          <w:lang w:val="lt-LT"/>
        </w:rPr>
        <w:t xml:space="preserve"> </w:t>
      </w:r>
      <w:r w:rsidRPr="00115D83">
        <w:rPr>
          <w:rFonts w:ascii="Arial" w:eastAsia="Arial Unicode MS" w:hAnsi="Arial" w:cs="Arial"/>
          <w:bCs/>
          <w:color w:val="212121"/>
          <w:sz w:val="20"/>
          <w:szCs w:val="20"/>
          <w:lang w:val="lt-LT"/>
        </w:rPr>
        <w:t>krito „Linas Agro“. Įmonė pernai pasiekė 2,3 proc. mažesnę apyvartą (438 mln. Eur) ir šiemet reitinge užėmė 47 vietą (pernai buvo 19).</w:t>
      </w:r>
      <w:r w:rsidR="00782C49" w:rsidRPr="00115D83">
        <w:rPr>
          <w:rFonts w:ascii="Arial" w:eastAsia="Arial Unicode MS" w:hAnsi="Arial" w:cs="Arial"/>
          <w:bCs/>
          <w:color w:val="212121"/>
          <w:sz w:val="20"/>
          <w:szCs w:val="20"/>
          <w:lang w:val="lt-LT"/>
        </w:rPr>
        <w:t xml:space="preserve"> Kita įmonė</w:t>
      </w:r>
      <w:r w:rsidR="00D15EDD">
        <w:rPr>
          <w:rFonts w:ascii="Arial" w:eastAsia="Arial Unicode MS" w:hAnsi="Arial" w:cs="Arial"/>
          <w:bCs/>
          <w:color w:val="212121"/>
          <w:sz w:val="20"/>
          <w:szCs w:val="20"/>
          <w:lang w:val="lt-LT"/>
        </w:rPr>
        <w:t xml:space="preserve"> </w:t>
      </w:r>
      <w:r w:rsidR="00D15EDD" w:rsidRPr="00115D83">
        <w:rPr>
          <w:rFonts w:ascii="Arial" w:eastAsia="Arial Unicode MS" w:hAnsi="Arial" w:cs="Arial"/>
          <w:bCs/>
          <w:color w:val="212121"/>
          <w:sz w:val="20"/>
          <w:szCs w:val="20"/>
          <w:lang w:val="lt-LT"/>
        </w:rPr>
        <w:t>–</w:t>
      </w:r>
      <w:r w:rsidR="00D15EDD">
        <w:rPr>
          <w:rFonts w:ascii="Arial" w:eastAsia="Arial Unicode MS" w:hAnsi="Arial" w:cs="Arial"/>
          <w:bCs/>
          <w:color w:val="212121"/>
          <w:sz w:val="20"/>
          <w:szCs w:val="20"/>
          <w:lang w:val="lt-LT"/>
        </w:rPr>
        <w:t xml:space="preserve"> </w:t>
      </w:r>
      <w:r w:rsidR="00782C49" w:rsidRPr="00115D83">
        <w:rPr>
          <w:rFonts w:ascii="Arial" w:eastAsia="Arial Unicode MS" w:hAnsi="Arial" w:cs="Arial"/>
          <w:bCs/>
          <w:color w:val="212121"/>
          <w:sz w:val="20"/>
          <w:szCs w:val="20"/>
          <w:lang w:val="lt-LT"/>
        </w:rPr>
        <w:t xml:space="preserve">„Acme Grupė“ prarado 18 pozicijų ir naujausiame reitinge </w:t>
      </w:r>
      <w:r w:rsidR="008F681C" w:rsidRPr="00115D83">
        <w:rPr>
          <w:rFonts w:ascii="Arial" w:eastAsia="Arial Unicode MS" w:hAnsi="Arial" w:cs="Arial"/>
          <w:bCs/>
          <w:color w:val="212121"/>
          <w:sz w:val="20"/>
          <w:szCs w:val="20"/>
          <w:lang w:val="lt-LT"/>
        </w:rPr>
        <w:t xml:space="preserve">yra 44 vietoje (pernai – 26) – jos apyvarta pernai smuko 13,6 proc. ir sudarė 456 mln. Eur. </w:t>
      </w:r>
      <w:r w:rsidRPr="00115D83">
        <w:rPr>
          <w:rFonts w:ascii="Arial" w:eastAsia="Arial Unicode MS" w:hAnsi="Arial" w:cs="Arial"/>
          <w:bCs/>
          <w:color w:val="212121"/>
          <w:sz w:val="20"/>
          <w:szCs w:val="20"/>
          <w:lang w:val="lt-LT"/>
        </w:rPr>
        <w:t xml:space="preserve">  </w:t>
      </w:r>
    </w:p>
    <w:p w:rsidR="007F1066" w:rsidRPr="00115D83" w:rsidRDefault="007F1066" w:rsidP="000E46F0">
      <w:pPr>
        <w:widowControl/>
        <w:jc w:val="both"/>
        <w:rPr>
          <w:rFonts w:ascii="Arial" w:eastAsia="Arial Unicode MS" w:hAnsi="Arial" w:cs="Arial"/>
          <w:bCs/>
          <w:color w:val="212121"/>
          <w:sz w:val="20"/>
          <w:szCs w:val="20"/>
          <w:lang w:val="lt-LT"/>
        </w:rPr>
      </w:pPr>
    </w:p>
    <w:p w:rsidR="00E05DD8" w:rsidRPr="00115D83" w:rsidRDefault="007F1066" w:rsidP="000E46F0">
      <w:pPr>
        <w:widowControl/>
        <w:jc w:val="both"/>
        <w:rPr>
          <w:rFonts w:ascii="Arial" w:eastAsia="Arial Unicode MS" w:hAnsi="Arial" w:cs="Arial"/>
          <w:bCs/>
          <w:color w:val="212121"/>
          <w:sz w:val="20"/>
          <w:szCs w:val="20"/>
          <w:lang w:val="lt-LT"/>
        </w:rPr>
      </w:pPr>
      <w:r w:rsidRPr="00115D83">
        <w:rPr>
          <w:rFonts w:ascii="Arial" w:eastAsia="Arial Unicode MS" w:hAnsi="Arial" w:cs="Arial"/>
          <w:bCs/>
          <w:color w:val="212121"/>
          <w:sz w:val="20"/>
          <w:szCs w:val="20"/>
          <w:lang w:val="lt-LT"/>
        </w:rPr>
        <w:t xml:space="preserve">Nepaisant apyvartos augimo iš naujausio reitingo iškrito  „SBA baldų kompanija“ (buvo 42, dabar 52) ir „Telia Lietuva“ (buvo 45, dabar – 58), taip pat ir mažesnę apyvartą pasiekusi „Achema“ (buvo 35, dabar 54). </w:t>
      </w:r>
    </w:p>
    <w:p w:rsidR="00FF2B6C" w:rsidRPr="00115D83" w:rsidRDefault="00FF2B6C" w:rsidP="000E46F0">
      <w:pPr>
        <w:widowControl/>
        <w:jc w:val="both"/>
        <w:rPr>
          <w:rFonts w:ascii="Arial" w:eastAsia="Arial Unicode MS" w:hAnsi="Arial" w:cs="Arial"/>
          <w:bCs/>
          <w:color w:val="212121"/>
          <w:sz w:val="20"/>
          <w:szCs w:val="20"/>
          <w:lang w:val="lt-LT"/>
        </w:rPr>
      </w:pPr>
    </w:p>
    <w:p w:rsidR="00FF2B6C" w:rsidRPr="00115D83" w:rsidRDefault="00FF2B6C" w:rsidP="000E46F0">
      <w:pPr>
        <w:widowControl/>
        <w:jc w:val="both"/>
        <w:rPr>
          <w:rFonts w:ascii="Arial" w:eastAsia="Arial Unicode MS" w:hAnsi="Arial" w:cs="Arial"/>
          <w:b/>
          <w:color w:val="212121"/>
          <w:sz w:val="20"/>
          <w:szCs w:val="20"/>
          <w:lang w:val="lt-LT"/>
        </w:rPr>
      </w:pPr>
      <w:r w:rsidRPr="00115D83">
        <w:rPr>
          <w:rFonts w:ascii="Arial" w:eastAsia="Arial Unicode MS" w:hAnsi="Arial" w:cs="Arial"/>
          <w:b/>
          <w:color w:val="212121"/>
          <w:sz w:val="20"/>
          <w:szCs w:val="20"/>
          <w:lang w:val="lt-LT"/>
        </w:rPr>
        <w:t xml:space="preserve">Reitinge kilusių bendrovių apyvartos augo </w:t>
      </w:r>
      <w:r w:rsidR="00332CB4" w:rsidRPr="00115D83">
        <w:rPr>
          <w:rFonts w:ascii="Arial" w:eastAsia="Arial Unicode MS" w:hAnsi="Arial" w:cs="Arial"/>
          <w:b/>
          <w:color w:val="212121"/>
          <w:sz w:val="20"/>
          <w:szCs w:val="20"/>
          <w:lang w:val="lt-LT"/>
        </w:rPr>
        <w:t xml:space="preserve">dviženkliais skaičiais </w:t>
      </w:r>
    </w:p>
    <w:p w:rsidR="000E428D" w:rsidRPr="00115D83" w:rsidRDefault="000E428D" w:rsidP="000E46F0">
      <w:pPr>
        <w:widowControl/>
        <w:jc w:val="both"/>
        <w:rPr>
          <w:rFonts w:ascii="Arial" w:eastAsia="Arial Unicode MS" w:hAnsi="Arial" w:cs="Arial"/>
          <w:bCs/>
          <w:color w:val="212121"/>
          <w:sz w:val="20"/>
          <w:szCs w:val="20"/>
          <w:lang w:val="lt-LT"/>
        </w:rPr>
      </w:pPr>
    </w:p>
    <w:p w:rsidR="00D7626A" w:rsidRPr="00115D83" w:rsidRDefault="00CA5028" w:rsidP="000E46F0">
      <w:pPr>
        <w:widowControl/>
        <w:jc w:val="both"/>
        <w:rPr>
          <w:rFonts w:ascii="Arial" w:eastAsia="Arial Unicode MS" w:hAnsi="Arial" w:cs="Arial"/>
          <w:bCs/>
          <w:color w:val="212121"/>
          <w:sz w:val="20"/>
          <w:szCs w:val="20"/>
          <w:lang w:val="lt-LT"/>
        </w:rPr>
      </w:pPr>
      <w:r w:rsidRPr="00115D83">
        <w:rPr>
          <w:rFonts w:ascii="Arial" w:eastAsia="Arial Unicode MS" w:hAnsi="Arial" w:cs="Arial"/>
          <w:bCs/>
          <w:color w:val="212121"/>
          <w:sz w:val="20"/>
          <w:szCs w:val="20"/>
          <w:lang w:val="lt-LT"/>
        </w:rPr>
        <w:t xml:space="preserve">Naujajame „Coface“ TOP 50 reitinge tarp lietuviškų bendrovių pozicijas gerino „Kesko Senukai Lithuania“ (dabar yra 19, buvo 21, apyvarta per metus augo 15,8 proc. ir siekė 732 mln. Eur). Bendrovės „Viada LT“ apyvarta didėjo 26,5 proc. ir pernai siekė 685 mln. Eur – tai leido įmonei pakilti reitinge į 21 vietą (pernai buvo 25). Dar daugiau augo „Girtekos Logistics“ (36,1 proc., 764 mln. Eur) ir „Top Sport“ (37,2 proc., 454 mln. Eur) bendrovių apyvartos, </w:t>
      </w:r>
      <w:r w:rsidR="00F47522" w:rsidRPr="00115D83">
        <w:rPr>
          <w:rFonts w:ascii="Arial" w:eastAsia="Arial Unicode MS" w:hAnsi="Arial" w:cs="Arial"/>
          <w:bCs/>
          <w:color w:val="212121"/>
          <w:sz w:val="20"/>
          <w:szCs w:val="20"/>
          <w:lang w:val="lt-LT"/>
        </w:rPr>
        <w:t xml:space="preserve">naujausiame reitinge </w:t>
      </w:r>
      <w:r w:rsidRPr="00115D83">
        <w:rPr>
          <w:rFonts w:ascii="Arial" w:eastAsia="Arial Unicode MS" w:hAnsi="Arial" w:cs="Arial"/>
          <w:bCs/>
          <w:color w:val="212121"/>
          <w:sz w:val="20"/>
          <w:szCs w:val="20"/>
          <w:lang w:val="lt-LT"/>
        </w:rPr>
        <w:t>atitinkamai užėmusių 18 (buvo</w:t>
      </w:r>
      <w:r w:rsidR="0081043A" w:rsidRPr="00115D83">
        <w:rPr>
          <w:rFonts w:ascii="Arial" w:eastAsia="Arial Unicode MS" w:hAnsi="Arial" w:cs="Arial"/>
          <w:bCs/>
          <w:color w:val="212121"/>
          <w:sz w:val="20"/>
          <w:szCs w:val="20"/>
          <w:lang w:val="lt-LT"/>
        </w:rPr>
        <w:t xml:space="preserve"> 24</w:t>
      </w:r>
      <w:r w:rsidRPr="00115D83">
        <w:rPr>
          <w:rFonts w:ascii="Arial" w:eastAsia="Arial Unicode MS" w:hAnsi="Arial" w:cs="Arial"/>
          <w:bCs/>
          <w:color w:val="212121"/>
          <w:sz w:val="20"/>
          <w:szCs w:val="20"/>
          <w:lang w:val="lt-LT"/>
        </w:rPr>
        <w:t xml:space="preserve"> </w:t>
      </w:r>
      <w:r w:rsidR="00F47522" w:rsidRPr="00115D83">
        <w:rPr>
          <w:rFonts w:ascii="Arial" w:eastAsia="Arial Unicode MS" w:hAnsi="Arial" w:cs="Arial"/>
          <w:bCs/>
          <w:color w:val="212121"/>
          <w:sz w:val="20"/>
          <w:szCs w:val="20"/>
          <w:lang w:val="lt-LT"/>
        </w:rPr>
        <w:t xml:space="preserve">) ir 45 (buvo 54) vietas. </w:t>
      </w:r>
      <w:r w:rsidR="0081043A" w:rsidRPr="00115D83">
        <w:rPr>
          <w:rFonts w:ascii="Arial" w:eastAsia="Arial Unicode MS" w:hAnsi="Arial" w:cs="Arial"/>
          <w:bCs/>
          <w:color w:val="212121"/>
          <w:sz w:val="20"/>
          <w:szCs w:val="20"/>
          <w:lang w:val="lt-LT"/>
        </w:rPr>
        <w:t xml:space="preserve">28-tą vietą, kaip ir pernai, reitinge išsaugojo „Spektator“, kurios apyvarta pernai didėjo 16,2 proc. ir siekė 420 mln. Eur. Baltijos šalių TOP 50 reitingą šiemet </w:t>
      </w:r>
      <w:r w:rsidR="00103BB0">
        <w:rPr>
          <w:rFonts w:ascii="Arial" w:eastAsia="Arial Unicode MS" w:hAnsi="Arial" w:cs="Arial"/>
          <w:bCs/>
          <w:color w:val="212121"/>
          <w:sz w:val="20"/>
          <w:szCs w:val="20"/>
          <w:lang w:val="lt-LT"/>
        </w:rPr>
        <w:t>užbaigianti „</w:t>
      </w:r>
      <w:r w:rsidR="0081043A" w:rsidRPr="00115D83">
        <w:rPr>
          <w:rFonts w:ascii="Arial" w:eastAsia="Arial Unicode MS" w:hAnsi="Arial" w:cs="Arial"/>
          <w:bCs/>
          <w:color w:val="212121"/>
          <w:sz w:val="20"/>
          <w:szCs w:val="20"/>
          <w:lang w:val="lt-LT"/>
        </w:rPr>
        <w:t>Avia Solutions Group</w:t>
      </w:r>
      <w:r w:rsidR="00103BB0">
        <w:rPr>
          <w:rFonts w:ascii="Arial" w:eastAsia="Arial Unicode MS" w:hAnsi="Arial" w:cs="Arial"/>
          <w:bCs/>
          <w:color w:val="212121"/>
          <w:sz w:val="20"/>
          <w:szCs w:val="20"/>
          <w:lang w:val="lt-LT"/>
        </w:rPr>
        <w:t xml:space="preserve">“ augino apyvartą </w:t>
      </w:r>
      <w:r w:rsidR="0081043A" w:rsidRPr="00115D83">
        <w:rPr>
          <w:rFonts w:ascii="Arial" w:eastAsia="Arial Unicode MS" w:hAnsi="Arial" w:cs="Arial"/>
          <w:bCs/>
          <w:color w:val="212121"/>
          <w:sz w:val="20"/>
          <w:szCs w:val="20"/>
          <w:lang w:val="lt-LT"/>
        </w:rPr>
        <w:t>24,5 proc. (iki 420 mln. Eur)</w:t>
      </w:r>
      <w:r w:rsidR="00103BB0">
        <w:rPr>
          <w:rFonts w:ascii="Arial" w:eastAsia="Arial Unicode MS" w:hAnsi="Arial" w:cs="Arial"/>
          <w:bCs/>
          <w:color w:val="212121"/>
          <w:sz w:val="20"/>
          <w:szCs w:val="20"/>
          <w:lang w:val="lt-LT"/>
        </w:rPr>
        <w:t xml:space="preserve">, tačiau </w:t>
      </w:r>
      <w:r w:rsidR="0081043A" w:rsidRPr="00115D83">
        <w:rPr>
          <w:rFonts w:ascii="Arial" w:eastAsia="Arial Unicode MS" w:hAnsi="Arial" w:cs="Arial"/>
          <w:bCs/>
          <w:color w:val="212121"/>
          <w:sz w:val="20"/>
          <w:szCs w:val="20"/>
          <w:lang w:val="lt-LT"/>
        </w:rPr>
        <w:t>reitinge nusileido iš pernai turėtos 49 vietos</w:t>
      </w:r>
      <w:r w:rsidR="00D15EDD">
        <w:rPr>
          <w:rFonts w:ascii="Arial" w:eastAsia="Arial Unicode MS" w:hAnsi="Arial" w:cs="Arial"/>
          <w:bCs/>
          <w:color w:val="212121"/>
          <w:sz w:val="20"/>
          <w:szCs w:val="20"/>
          <w:lang w:val="lt-LT"/>
        </w:rPr>
        <w:t xml:space="preserve"> į </w:t>
      </w:r>
      <w:r w:rsidR="00D15EDD">
        <w:rPr>
          <w:rFonts w:ascii="Arial" w:eastAsia="Arial Unicode MS" w:hAnsi="Arial" w:cs="Arial"/>
          <w:bCs/>
          <w:color w:val="212121"/>
          <w:sz w:val="20"/>
          <w:szCs w:val="20"/>
          <w:lang w:val="en-US"/>
        </w:rPr>
        <w:t>50-</w:t>
      </w:r>
      <w:r w:rsidR="00D15EDD">
        <w:rPr>
          <w:rFonts w:ascii="Arial" w:eastAsia="Arial Unicode MS" w:hAnsi="Arial" w:cs="Arial"/>
          <w:bCs/>
          <w:color w:val="212121"/>
          <w:sz w:val="20"/>
          <w:szCs w:val="20"/>
          <w:lang w:val="lt-LT"/>
        </w:rPr>
        <w:t xml:space="preserve">ą poziciją. </w:t>
      </w:r>
    </w:p>
    <w:p w:rsidR="0081043A" w:rsidRPr="00115D83" w:rsidRDefault="0081043A" w:rsidP="000E46F0">
      <w:pPr>
        <w:widowControl/>
        <w:jc w:val="both"/>
        <w:rPr>
          <w:rFonts w:ascii="Arial" w:eastAsia="Arial Unicode MS" w:hAnsi="Arial" w:cs="Arial"/>
          <w:bCs/>
          <w:color w:val="212121"/>
          <w:sz w:val="20"/>
          <w:szCs w:val="20"/>
          <w:lang w:val="lt-LT"/>
        </w:rPr>
      </w:pPr>
    </w:p>
    <w:p w:rsidR="00FF2B6C" w:rsidRPr="00115D83" w:rsidRDefault="00BA06EF" w:rsidP="000E46F0">
      <w:pPr>
        <w:widowControl/>
        <w:jc w:val="both"/>
        <w:rPr>
          <w:rFonts w:ascii="Arial" w:eastAsia="Arial Unicode MS" w:hAnsi="Arial" w:cs="Arial"/>
          <w:b/>
          <w:color w:val="212121"/>
          <w:sz w:val="20"/>
          <w:szCs w:val="20"/>
          <w:lang w:val="lt-LT"/>
        </w:rPr>
      </w:pPr>
      <w:r w:rsidRPr="00115D83">
        <w:rPr>
          <w:rFonts w:ascii="Arial" w:eastAsia="Arial Unicode MS" w:hAnsi="Arial" w:cs="Arial"/>
          <w:b/>
          <w:color w:val="212121"/>
          <w:sz w:val="20"/>
          <w:szCs w:val="20"/>
          <w:lang w:val="lt-LT"/>
        </w:rPr>
        <w:t>Didžiausių Baltijos šalių įmonių apyvarta augo beveik penktadaliu</w:t>
      </w:r>
    </w:p>
    <w:p w:rsidR="00DB638C" w:rsidRPr="00115D83" w:rsidRDefault="00DB638C" w:rsidP="00DB638C">
      <w:pPr>
        <w:jc w:val="both"/>
        <w:rPr>
          <w:rFonts w:ascii="Arial" w:eastAsia="Arial Unicode MS" w:hAnsi="Arial" w:cs="Arial"/>
          <w:bCs/>
          <w:color w:val="212121"/>
          <w:sz w:val="20"/>
          <w:szCs w:val="20"/>
          <w:lang w:val="lt-LT"/>
        </w:rPr>
      </w:pPr>
    </w:p>
    <w:p w:rsidR="00DB638C" w:rsidRPr="00115D83" w:rsidRDefault="00DB638C" w:rsidP="00DB638C">
      <w:pPr>
        <w:jc w:val="both"/>
        <w:rPr>
          <w:rFonts w:ascii="Arial" w:eastAsia="Arial Unicode MS" w:hAnsi="Arial" w:cs="Arial"/>
          <w:bCs/>
          <w:color w:val="212121"/>
          <w:sz w:val="20"/>
          <w:szCs w:val="20"/>
          <w:lang w:val="lt-LT"/>
        </w:rPr>
      </w:pPr>
      <w:r w:rsidRPr="00115D83">
        <w:rPr>
          <w:rFonts w:ascii="Arial" w:eastAsia="Arial Unicode MS" w:hAnsi="Arial" w:cs="Arial"/>
          <w:bCs/>
          <w:color w:val="212121"/>
          <w:sz w:val="20"/>
          <w:szCs w:val="20"/>
          <w:lang w:val="lt-LT"/>
        </w:rPr>
        <w:t xml:space="preserve">Iš viso 50 didžiausių Baltijos šalių įmonių 2018 metais </w:t>
      </w:r>
      <w:r w:rsidR="008A3071" w:rsidRPr="00115D83">
        <w:rPr>
          <w:rFonts w:ascii="Arial" w:eastAsia="Arial Unicode MS" w:hAnsi="Arial" w:cs="Arial"/>
          <w:bCs/>
          <w:color w:val="212121"/>
          <w:sz w:val="20"/>
          <w:szCs w:val="20"/>
          <w:lang w:val="lt-LT"/>
        </w:rPr>
        <w:t>augo 1</w:t>
      </w:r>
      <w:r w:rsidR="00BA06EF" w:rsidRPr="00115D83">
        <w:rPr>
          <w:rFonts w:ascii="Arial" w:eastAsia="Arial Unicode MS" w:hAnsi="Arial" w:cs="Arial"/>
          <w:bCs/>
          <w:color w:val="212121"/>
          <w:sz w:val="20"/>
          <w:szCs w:val="20"/>
          <w:lang w:val="lt-LT"/>
        </w:rPr>
        <w:t>8,1</w:t>
      </w:r>
      <w:r w:rsidR="008A3071" w:rsidRPr="00115D83">
        <w:rPr>
          <w:rFonts w:ascii="Arial" w:eastAsia="Arial Unicode MS" w:hAnsi="Arial" w:cs="Arial"/>
          <w:bCs/>
          <w:color w:val="212121"/>
          <w:sz w:val="20"/>
          <w:szCs w:val="20"/>
          <w:lang w:val="lt-LT"/>
        </w:rPr>
        <w:t xml:space="preserve">7 proc. ir </w:t>
      </w:r>
      <w:r w:rsidRPr="00115D83">
        <w:rPr>
          <w:rFonts w:ascii="Arial" w:eastAsia="Arial Unicode MS" w:hAnsi="Arial" w:cs="Arial"/>
          <w:bCs/>
          <w:color w:val="212121"/>
          <w:sz w:val="20"/>
          <w:szCs w:val="20"/>
          <w:lang w:val="lt-LT"/>
        </w:rPr>
        <w:t xml:space="preserve">bendrai pasiekė 45,497 mlrd. Eur apyvartos, iš kurių 29,654 mlrd. Eur (65,18 proc.) uždirbo įmonės iš Lietuvos, 8,408 mlrd. Eur – estiškos įmonės (18,6 proc.), bei 7,435 mlrd. Eur – latviškos bendrovės (16,3 proc.). </w:t>
      </w:r>
    </w:p>
    <w:p w:rsidR="00DB638C" w:rsidRPr="00115D83" w:rsidRDefault="00DB638C" w:rsidP="00DB638C">
      <w:pPr>
        <w:jc w:val="both"/>
        <w:rPr>
          <w:rFonts w:ascii="Arial" w:eastAsia="Arial Unicode MS" w:hAnsi="Arial" w:cs="Arial"/>
          <w:bCs/>
          <w:color w:val="212121"/>
          <w:sz w:val="20"/>
          <w:szCs w:val="20"/>
          <w:lang w:val="lt-LT"/>
        </w:rPr>
      </w:pPr>
    </w:p>
    <w:p w:rsidR="00DB638C" w:rsidRPr="00115D83" w:rsidRDefault="00DB638C" w:rsidP="00DB638C">
      <w:pPr>
        <w:jc w:val="both"/>
        <w:rPr>
          <w:rFonts w:ascii="Arial" w:eastAsia="Arial Unicode MS" w:hAnsi="Arial" w:cs="Arial"/>
          <w:bCs/>
          <w:color w:val="212121"/>
          <w:sz w:val="20"/>
          <w:szCs w:val="20"/>
          <w:lang w:val="lt-LT"/>
        </w:rPr>
      </w:pPr>
      <w:r w:rsidRPr="00115D83">
        <w:rPr>
          <w:rFonts w:ascii="Arial" w:eastAsia="Arial Unicode MS" w:hAnsi="Arial" w:cs="Arial"/>
          <w:bCs/>
          <w:color w:val="212121"/>
          <w:sz w:val="20"/>
          <w:szCs w:val="20"/>
          <w:lang w:val="lt-LT"/>
        </w:rPr>
        <w:t xml:space="preserve">Bendras TOP 50 reitingo įmonių uždirbtas pelnas pernai siekė 1,4115 mlrd. Eur, iš kurių 860 mln. (61 proc.) uždirbo lietuviškos įmonės, 364 mln. Eur (25,8 proc.) – estiškos įmonės, ir likusius 187 mln. Eur (13,2 proc.) – įmonės iš Latvijos. </w:t>
      </w:r>
    </w:p>
    <w:p w:rsidR="00DB638C" w:rsidRPr="00115D83" w:rsidRDefault="00DB638C" w:rsidP="00DB638C">
      <w:pPr>
        <w:jc w:val="both"/>
        <w:rPr>
          <w:rFonts w:ascii="Arial" w:eastAsia="Arial Unicode MS" w:hAnsi="Arial" w:cs="Arial"/>
          <w:bCs/>
          <w:color w:val="212121"/>
          <w:sz w:val="20"/>
          <w:szCs w:val="20"/>
          <w:lang w:val="lt-LT"/>
        </w:rPr>
      </w:pPr>
    </w:p>
    <w:p w:rsidR="00BA06EF" w:rsidRPr="00115D83" w:rsidRDefault="00BA06EF" w:rsidP="00DB638C">
      <w:pPr>
        <w:jc w:val="both"/>
        <w:rPr>
          <w:rFonts w:ascii="Arial" w:eastAsia="Arial Unicode MS" w:hAnsi="Arial" w:cs="Arial"/>
          <w:b/>
          <w:color w:val="212121"/>
          <w:sz w:val="20"/>
          <w:szCs w:val="20"/>
          <w:lang w:val="lt-LT"/>
        </w:rPr>
      </w:pPr>
      <w:r w:rsidRPr="00115D83">
        <w:rPr>
          <w:rFonts w:ascii="Arial" w:eastAsia="Arial Unicode MS" w:hAnsi="Arial" w:cs="Arial"/>
          <w:b/>
          <w:color w:val="212121"/>
          <w:sz w:val="20"/>
          <w:szCs w:val="20"/>
          <w:lang w:val="lt-LT"/>
        </w:rPr>
        <w:t xml:space="preserve">Estijos įmonių sumažėjo iki 14, tačiau atsirado ir naujokių </w:t>
      </w:r>
    </w:p>
    <w:p w:rsidR="00DB638C" w:rsidRPr="00115D83" w:rsidRDefault="00DB638C" w:rsidP="00DB638C">
      <w:pPr>
        <w:jc w:val="both"/>
        <w:rPr>
          <w:rFonts w:ascii="Arial" w:eastAsia="Arial Unicode MS" w:hAnsi="Arial" w:cs="Arial"/>
          <w:bCs/>
          <w:color w:val="212121"/>
          <w:sz w:val="20"/>
          <w:szCs w:val="20"/>
          <w:lang w:val="lt-LT"/>
        </w:rPr>
      </w:pPr>
    </w:p>
    <w:p w:rsidR="00DB638C" w:rsidRPr="00115D83" w:rsidRDefault="00DB638C" w:rsidP="00DB638C">
      <w:pPr>
        <w:jc w:val="both"/>
        <w:rPr>
          <w:rFonts w:ascii="Arial" w:eastAsia="Arial Unicode MS" w:hAnsi="Arial" w:cs="Arial"/>
          <w:bCs/>
          <w:color w:val="212121"/>
          <w:sz w:val="20"/>
          <w:szCs w:val="20"/>
          <w:lang w:val="lt-LT"/>
        </w:rPr>
      </w:pPr>
      <w:r w:rsidRPr="00115D83">
        <w:rPr>
          <w:rFonts w:ascii="Arial" w:eastAsia="Arial Unicode MS" w:hAnsi="Arial" w:cs="Arial"/>
          <w:bCs/>
          <w:color w:val="212121"/>
          <w:sz w:val="20"/>
          <w:szCs w:val="20"/>
          <w:lang w:val="lt-LT"/>
        </w:rPr>
        <w:t>Iš Estijos į TOP 50 reitingą pateko 14 įmonių (pernai buvo 15), tarp kurių didžiausia yra 9 vietoje esanti „Tallink Group“</w:t>
      </w:r>
      <w:r w:rsidR="00A06800" w:rsidRPr="00115D83">
        <w:rPr>
          <w:rFonts w:ascii="Arial" w:eastAsia="Arial Unicode MS" w:hAnsi="Arial" w:cs="Arial"/>
          <w:bCs/>
          <w:color w:val="212121"/>
          <w:sz w:val="20"/>
          <w:szCs w:val="20"/>
          <w:lang w:val="lt-LT"/>
        </w:rPr>
        <w:t xml:space="preserve">, pernai pasiekusi </w:t>
      </w:r>
      <w:r w:rsidR="00706E51" w:rsidRPr="00115D83">
        <w:rPr>
          <w:rFonts w:ascii="Arial" w:eastAsia="Arial Unicode MS" w:hAnsi="Arial" w:cs="Arial"/>
          <w:bCs/>
          <w:color w:val="212121"/>
          <w:sz w:val="20"/>
          <w:szCs w:val="20"/>
          <w:lang w:val="lt-LT"/>
        </w:rPr>
        <w:t xml:space="preserve">950 mln. Eur apyvartos (1,8 proc. mažiau, nei 2017 metais). </w:t>
      </w:r>
      <w:r w:rsidRPr="00115D83">
        <w:rPr>
          <w:rFonts w:ascii="Arial" w:eastAsia="Arial Unicode MS" w:hAnsi="Arial" w:cs="Arial"/>
          <w:bCs/>
          <w:color w:val="212121"/>
          <w:sz w:val="20"/>
          <w:szCs w:val="20"/>
          <w:lang w:val="lt-LT"/>
        </w:rPr>
        <w:t>Didžiausių įmonių sąraše šiemet taip pat yra dvi naujokės iš Estijos</w:t>
      </w:r>
      <w:r w:rsidR="00706E51" w:rsidRPr="00115D83">
        <w:rPr>
          <w:rFonts w:ascii="Arial" w:eastAsia="Arial Unicode MS" w:hAnsi="Arial" w:cs="Arial"/>
          <w:bCs/>
          <w:color w:val="212121"/>
          <w:sz w:val="20"/>
          <w:szCs w:val="20"/>
          <w:lang w:val="lt-LT"/>
        </w:rPr>
        <w:t xml:space="preserve"> – „Baltic </w:t>
      </w:r>
      <w:r w:rsidRPr="00115D83">
        <w:rPr>
          <w:rFonts w:ascii="Arial" w:eastAsia="Arial Unicode MS" w:hAnsi="Arial" w:cs="Arial"/>
          <w:bCs/>
          <w:color w:val="212121"/>
          <w:sz w:val="20"/>
          <w:szCs w:val="20"/>
          <w:lang w:val="lt-LT"/>
        </w:rPr>
        <w:t xml:space="preserve">Sea Bunkering“ OU ir „NT Bunkering“ AS, atitinkamai užėmusios 36 ir 37 vietas. </w:t>
      </w:r>
    </w:p>
    <w:p w:rsidR="00C0588B" w:rsidRPr="00115D83" w:rsidRDefault="00C0588B" w:rsidP="00DB638C">
      <w:pPr>
        <w:jc w:val="both"/>
        <w:rPr>
          <w:rFonts w:ascii="Arial" w:eastAsia="Arial Unicode MS" w:hAnsi="Arial" w:cs="Arial"/>
          <w:bCs/>
          <w:color w:val="212121"/>
          <w:sz w:val="20"/>
          <w:szCs w:val="20"/>
          <w:lang w:val="lt-LT"/>
        </w:rPr>
      </w:pPr>
    </w:p>
    <w:p w:rsidR="00BA06EF" w:rsidRPr="00115D83" w:rsidRDefault="00BA06EF" w:rsidP="00DB638C">
      <w:pPr>
        <w:jc w:val="both"/>
        <w:rPr>
          <w:rFonts w:ascii="Arial" w:eastAsia="Arial Unicode MS" w:hAnsi="Arial" w:cs="Arial"/>
          <w:b/>
          <w:color w:val="212121"/>
          <w:sz w:val="20"/>
          <w:szCs w:val="20"/>
          <w:lang w:val="lt-LT"/>
        </w:rPr>
      </w:pPr>
      <w:r w:rsidRPr="00115D83">
        <w:rPr>
          <w:rFonts w:ascii="Arial" w:eastAsia="Arial Unicode MS" w:hAnsi="Arial" w:cs="Arial"/>
          <w:b/>
          <w:color w:val="212121"/>
          <w:sz w:val="20"/>
          <w:szCs w:val="20"/>
          <w:lang w:val="lt-LT"/>
        </w:rPr>
        <w:t>Latvijai, kaip ir pernai, atstovauja 7 bendrovės</w:t>
      </w:r>
    </w:p>
    <w:p w:rsidR="00BA06EF" w:rsidRPr="00115D83" w:rsidRDefault="00BA06EF" w:rsidP="00DB638C">
      <w:pPr>
        <w:jc w:val="both"/>
        <w:rPr>
          <w:rFonts w:ascii="Arial" w:eastAsia="Arial Unicode MS" w:hAnsi="Arial" w:cs="Arial"/>
          <w:bCs/>
          <w:color w:val="212121"/>
          <w:sz w:val="20"/>
          <w:szCs w:val="20"/>
          <w:lang w:val="lt-LT"/>
        </w:rPr>
      </w:pPr>
    </w:p>
    <w:p w:rsidR="00C0588B" w:rsidRPr="00115D83" w:rsidRDefault="00E241E3" w:rsidP="00DB638C">
      <w:pPr>
        <w:jc w:val="both"/>
        <w:rPr>
          <w:rFonts w:ascii="Arial" w:eastAsia="Arial Unicode MS" w:hAnsi="Arial" w:cs="Arial"/>
          <w:bCs/>
          <w:color w:val="212121"/>
          <w:sz w:val="20"/>
          <w:szCs w:val="20"/>
          <w:lang w:val="lt-LT"/>
        </w:rPr>
      </w:pPr>
      <w:r w:rsidRPr="00115D83">
        <w:rPr>
          <w:rFonts w:ascii="Arial" w:eastAsia="Arial Unicode MS" w:hAnsi="Arial" w:cs="Arial"/>
          <w:bCs/>
          <w:color w:val="212121"/>
          <w:sz w:val="20"/>
          <w:szCs w:val="20"/>
          <w:lang w:val="lt-LT"/>
        </w:rPr>
        <w:t xml:space="preserve">Latvijai reitinge atstovauja 7 įmonės, tiek pat, kiek ir pernai. </w:t>
      </w:r>
      <w:r w:rsidR="00C0588B" w:rsidRPr="00115D83">
        <w:rPr>
          <w:rFonts w:ascii="Arial" w:eastAsia="Arial Unicode MS" w:hAnsi="Arial" w:cs="Arial"/>
          <w:bCs/>
          <w:color w:val="212121"/>
          <w:sz w:val="20"/>
          <w:szCs w:val="20"/>
          <w:lang w:val="lt-LT"/>
        </w:rPr>
        <w:t xml:space="preserve">Išskyrus jau paminėtą reitingo naujokę „Uralkakli Trading“, esančią 4 vietoje, toliau latviškos bendrovės rikiuojasi tokia tvarka: „Elko Grupa“ (6 vieta), „Rimi Latvia“ (11), „Uralchem Trading“ (12), „Latvenergo“ (13), „Maxima Latvija“ (17), „Orlen Latvija“ (30). </w:t>
      </w:r>
    </w:p>
    <w:p w:rsidR="00BA06EF" w:rsidRPr="00115D83" w:rsidRDefault="00BA06EF" w:rsidP="00DB638C">
      <w:pPr>
        <w:jc w:val="both"/>
        <w:rPr>
          <w:rFonts w:ascii="Arial" w:eastAsia="Arial Unicode MS" w:hAnsi="Arial" w:cs="Arial"/>
          <w:bCs/>
          <w:color w:val="212121"/>
          <w:sz w:val="20"/>
          <w:szCs w:val="20"/>
          <w:lang w:val="lt-LT"/>
        </w:rPr>
      </w:pPr>
    </w:p>
    <w:p w:rsidR="00BA06EF" w:rsidRPr="00115D83" w:rsidRDefault="00BA06EF" w:rsidP="00BA06EF">
      <w:pPr>
        <w:widowControl/>
        <w:jc w:val="both"/>
        <w:rPr>
          <w:rFonts w:ascii="Arial" w:eastAsia="Arial Unicode MS" w:hAnsi="Arial" w:cs="Arial"/>
          <w:bCs/>
          <w:color w:val="212121"/>
          <w:sz w:val="20"/>
          <w:szCs w:val="20"/>
          <w:lang w:val="lt-LT"/>
        </w:rPr>
      </w:pPr>
      <w:r w:rsidRPr="00115D83">
        <w:rPr>
          <w:rFonts w:ascii="Arial" w:eastAsia="Arial Unicode MS" w:hAnsi="Arial" w:cs="Arial"/>
          <w:bCs/>
          <w:color w:val="212121"/>
          <w:sz w:val="20"/>
          <w:szCs w:val="20"/>
          <w:lang w:val="lt-LT"/>
        </w:rPr>
        <w:t xml:space="preserve">Pagal įmonių skaičių „Coface“ TOP 50 reitinge dominuoja kuro, chemijos ir farmacijos bendrovės (17), toliau rikiuojasi mažmeninės prekybos tinklai (10), žemės ūkio, maisto ir gėrimų bendrovės (9), energijos tiekimo įmonės (8), transporto ir logistikos bendrovės (7), elektronikos ir telekomunikacijų įmonės (6). </w:t>
      </w:r>
    </w:p>
    <w:p w:rsidR="00BA06EF" w:rsidRPr="00115D83" w:rsidRDefault="00BA06EF" w:rsidP="00DB638C">
      <w:pPr>
        <w:jc w:val="both"/>
        <w:rPr>
          <w:rFonts w:ascii="Arial" w:eastAsia="Arial Unicode MS" w:hAnsi="Arial" w:cs="Arial"/>
          <w:bCs/>
          <w:color w:val="212121"/>
          <w:sz w:val="20"/>
          <w:szCs w:val="20"/>
          <w:lang w:val="lt-LT"/>
        </w:rPr>
      </w:pPr>
    </w:p>
    <w:p w:rsidR="00DB638C" w:rsidRPr="00115D83" w:rsidRDefault="00DB638C" w:rsidP="00DB638C">
      <w:pPr>
        <w:jc w:val="both"/>
        <w:rPr>
          <w:rFonts w:ascii="Arial" w:eastAsia="Arial Unicode MS" w:hAnsi="Arial" w:cs="Arial"/>
          <w:b/>
          <w:sz w:val="18"/>
          <w:szCs w:val="18"/>
          <w:lang w:val="lt-LT"/>
        </w:rPr>
      </w:pPr>
      <w:r w:rsidRPr="00115D83">
        <w:rPr>
          <w:rFonts w:ascii="Arial" w:eastAsia="Arial Unicode MS" w:hAnsi="Arial" w:cs="Arial"/>
          <w:bCs/>
          <w:color w:val="212121"/>
          <w:sz w:val="20"/>
          <w:szCs w:val="20"/>
          <w:lang w:val="lt-LT"/>
        </w:rPr>
        <w:t xml:space="preserve"> </w:t>
      </w:r>
      <w:r w:rsidRPr="00115D83">
        <w:rPr>
          <w:rFonts w:ascii="Arial" w:eastAsia="Arial Unicode MS" w:hAnsi="Arial" w:cs="Arial"/>
          <w:b/>
          <w:sz w:val="18"/>
          <w:szCs w:val="18"/>
          <w:lang w:val="lt-LT"/>
        </w:rPr>
        <w:t xml:space="preserve">Apie „Coface“ TOP 50 reitingą: </w:t>
      </w:r>
    </w:p>
    <w:p w:rsidR="00DB638C" w:rsidRPr="00115D83" w:rsidRDefault="00DB638C" w:rsidP="00DB638C">
      <w:pPr>
        <w:jc w:val="both"/>
        <w:rPr>
          <w:rFonts w:ascii="Arial" w:eastAsia="Arial Unicode MS" w:hAnsi="Arial" w:cs="Arial"/>
          <w:sz w:val="18"/>
          <w:szCs w:val="18"/>
          <w:lang w:val="lt-LT"/>
        </w:rPr>
      </w:pPr>
      <w:r w:rsidRPr="00115D83">
        <w:rPr>
          <w:rFonts w:ascii="Arial" w:eastAsia="Arial Unicode MS" w:hAnsi="Arial" w:cs="Arial"/>
          <w:sz w:val="18"/>
          <w:szCs w:val="18"/>
          <w:lang w:val="lt-LT"/>
        </w:rPr>
        <w:t xml:space="preserve">„Coface“ Baltijos įmonių TOP 50 reitingas yra bendras „Coface" filialų Vidurio Europoje projektas. Šis reitingas apima didžiausias regiono įmones, remiantis jų apyvarta kalendoriniais 2018 metais. Tyrimas apima Estiją, Latviją ir Lietuvą. Į reitingą įtrauktos didžiausios Baltijos šalių įmonės, kurių apyvarta yra ne mažesnė kaip 300 mln. eurų. Į reitingą nepateko finansinių paslaugų teikėjai, tokie kaip bankai, draudimo bendrovės, lizingo bendrovės ir brokeriai. „Coface“ reitingas yra pagrįstas pajamomis ir kitais svarbiausiais verslo rodikliais, pvz., grynuoju pelnu ir darbuotojų skaičiumi. Įmonės, kurios buvo pakviestos, tačiau atsisakė pateikti informaciją, į galutinį reitingą nepateko. </w:t>
      </w:r>
    </w:p>
    <w:p w:rsidR="00DB638C" w:rsidRPr="00115D83" w:rsidRDefault="00DB638C" w:rsidP="00DB638C">
      <w:pPr>
        <w:jc w:val="both"/>
        <w:rPr>
          <w:rFonts w:ascii="Arial" w:eastAsia="Arial Unicode MS" w:hAnsi="Arial" w:cs="Arial"/>
          <w:b/>
          <w:color w:val="212121"/>
          <w:sz w:val="20"/>
          <w:szCs w:val="20"/>
          <w:lang w:val="lt-LT"/>
        </w:rPr>
      </w:pPr>
    </w:p>
    <w:p w:rsidR="00DB638C" w:rsidRPr="00115D83" w:rsidRDefault="00DB638C" w:rsidP="00DB638C">
      <w:pPr>
        <w:jc w:val="both"/>
        <w:rPr>
          <w:rFonts w:ascii="Arial" w:eastAsia="Arial Unicode MS" w:hAnsi="Arial" w:cs="Arial"/>
          <w:b/>
          <w:color w:val="212121"/>
          <w:sz w:val="20"/>
          <w:szCs w:val="20"/>
          <w:lang w:val="lt-LT"/>
        </w:rPr>
      </w:pPr>
      <w:r w:rsidRPr="00115D83">
        <w:rPr>
          <w:rFonts w:ascii="Arial" w:eastAsia="Arial Unicode MS" w:hAnsi="Arial" w:cs="Arial"/>
          <w:b/>
          <w:color w:val="212121"/>
          <w:sz w:val="20"/>
          <w:szCs w:val="20"/>
          <w:lang w:val="lt-LT"/>
        </w:rPr>
        <w:t xml:space="preserve">Daugiau informacijos: </w:t>
      </w:r>
    </w:p>
    <w:p w:rsidR="00DB638C" w:rsidRPr="00115D83" w:rsidRDefault="00DB638C" w:rsidP="00DB638C">
      <w:pPr>
        <w:jc w:val="both"/>
        <w:rPr>
          <w:rFonts w:ascii="Arial" w:eastAsia="Arial Unicode MS" w:hAnsi="Arial" w:cs="Arial"/>
          <w:sz w:val="18"/>
          <w:szCs w:val="18"/>
          <w:lang w:val="lt-LT"/>
        </w:rPr>
      </w:pPr>
      <w:r w:rsidRPr="00115D83">
        <w:rPr>
          <w:rFonts w:ascii="Arial" w:eastAsia="Arial Unicode MS" w:hAnsi="Arial" w:cs="Arial"/>
          <w:color w:val="212121"/>
          <w:sz w:val="20"/>
          <w:szCs w:val="20"/>
          <w:lang w:val="lt-LT"/>
        </w:rPr>
        <w:t>Mantvydas Štareika, „Coface Baltics“ generalinis direktorius (</w:t>
      </w:r>
      <w:hyperlink r:id="rId8" w:history="1">
        <w:r w:rsidRPr="00115D83">
          <w:rPr>
            <w:rFonts w:ascii="Arial" w:eastAsia="Arial Unicode MS" w:hAnsi="Arial" w:cs="Arial"/>
            <w:color w:val="212121"/>
            <w:sz w:val="20"/>
            <w:szCs w:val="20"/>
            <w:lang w:val="lt-LT"/>
          </w:rPr>
          <w:t>Mantvydas.Stareika@coface.com</w:t>
        </w:r>
      </w:hyperlink>
      <w:r w:rsidRPr="00115D83">
        <w:rPr>
          <w:rFonts w:ascii="Arial" w:eastAsia="Arial Unicode MS" w:hAnsi="Arial" w:cs="Arial"/>
          <w:color w:val="212121"/>
          <w:sz w:val="20"/>
          <w:szCs w:val="20"/>
          <w:lang w:val="lt-LT"/>
        </w:rPr>
        <w:t>; +37068337602)</w:t>
      </w:r>
    </w:p>
    <w:p w:rsidR="00366700" w:rsidRPr="00115D83" w:rsidRDefault="00366700" w:rsidP="00DB638C">
      <w:pPr>
        <w:rPr>
          <w:b/>
          <w:lang w:val="lt-LT"/>
        </w:rPr>
      </w:pPr>
    </w:p>
    <w:sectPr w:rsidR="00366700" w:rsidRPr="00115D83" w:rsidSect="00E25F84">
      <w:headerReference w:type="default" r:id="rId9"/>
      <w:foot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31" w:rsidRDefault="00443031" w:rsidP="0042771D">
      <w:r>
        <w:separator/>
      </w:r>
    </w:p>
  </w:endnote>
  <w:endnote w:type="continuationSeparator" w:id="0">
    <w:p w:rsidR="00443031" w:rsidRDefault="00443031" w:rsidP="0042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01009"/>
      <w:docPartObj>
        <w:docPartGallery w:val="Page Numbers (Bottom of Page)"/>
        <w:docPartUnique/>
      </w:docPartObj>
    </w:sdtPr>
    <w:sdtEndPr>
      <w:rPr>
        <w:noProof/>
      </w:rPr>
    </w:sdtEndPr>
    <w:sdtContent>
      <w:p w:rsidR="00C5093F" w:rsidRDefault="00C5093F">
        <w:pPr>
          <w:pStyle w:val="Footer"/>
          <w:jc w:val="right"/>
        </w:pPr>
        <w:r>
          <w:fldChar w:fldCharType="begin"/>
        </w:r>
        <w:r>
          <w:instrText xml:space="preserve"> PAGE   \* MERGEFORMAT </w:instrText>
        </w:r>
        <w:r>
          <w:fldChar w:fldCharType="separate"/>
        </w:r>
        <w:r w:rsidR="001560FA">
          <w:rPr>
            <w:noProof/>
          </w:rPr>
          <w:t>2</w:t>
        </w:r>
        <w:r>
          <w:rPr>
            <w:noProof/>
          </w:rPr>
          <w:fldChar w:fldCharType="end"/>
        </w:r>
      </w:p>
    </w:sdtContent>
  </w:sdt>
  <w:p w:rsidR="00C5093F" w:rsidRDefault="00C50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31" w:rsidRDefault="00443031" w:rsidP="0042771D">
      <w:r>
        <w:separator/>
      </w:r>
    </w:p>
  </w:footnote>
  <w:footnote w:type="continuationSeparator" w:id="0">
    <w:p w:rsidR="00443031" w:rsidRDefault="00443031" w:rsidP="00427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3F" w:rsidRDefault="00C5093F">
    <w:pPr>
      <w:pStyle w:val="Header"/>
    </w:pPr>
    <w:r>
      <w:ptab w:relativeTo="margin" w:alignment="center" w:leader="none"/>
    </w:r>
    <w:r w:rsidR="001560FA">
      <w:rPr>
        <w:noProof/>
        <w:lang w:val="en-US" w:eastAsia="en-US"/>
      </w:rPr>
      <w:drawing>
        <wp:inline distT="0" distB="0" distL="0" distR="0" wp14:anchorId="52B4D2F4" wp14:editId="29541F61">
          <wp:extent cx="2505075" cy="12250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ace-logo-with-signature-RGB-white.jpg"/>
                  <pic:cNvPicPr/>
                </pic:nvPicPr>
                <pic:blipFill>
                  <a:blip r:embed="rId1">
                    <a:extLst>
                      <a:ext uri="{28A0092B-C50C-407E-A947-70E740481C1C}">
                        <a14:useLocalDpi xmlns:a14="http://schemas.microsoft.com/office/drawing/2010/main" val="0"/>
                      </a:ext>
                    </a:extLst>
                  </a:blip>
                  <a:stretch>
                    <a:fillRect/>
                  </a:stretch>
                </pic:blipFill>
                <pic:spPr>
                  <a:xfrm>
                    <a:off x="0" y="0"/>
                    <a:ext cx="2506544" cy="122573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532"/>
    <w:multiLevelType w:val="hybridMultilevel"/>
    <w:tmpl w:val="8D6A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34E7B"/>
    <w:multiLevelType w:val="hybridMultilevel"/>
    <w:tmpl w:val="DA7E8E16"/>
    <w:lvl w:ilvl="0" w:tplc="832EF7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D322A"/>
    <w:multiLevelType w:val="hybridMultilevel"/>
    <w:tmpl w:val="6AB4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BB02CB"/>
    <w:multiLevelType w:val="hybridMultilevel"/>
    <w:tmpl w:val="CB563C2E"/>
    <w:lvl w:ilvl="0" w:tplc="AE4C43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5B61A9"/>
    <w:multiLevelType w:val="hybridMultilevel"/>
    <w:tmpl w:val="B5C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13"/>
    <w:rsid w:val="00004276"/>
    <w:rsid w:val="000113D5"/>
    <w:rsid w:val="00011BA6"/>
    <w:rsid w:val="00013DFB"/>
    <w:rsid w:val="00015A13"/>
    <w:rsid w:val="00021E9B"/>
    <w:rsid w:val="00021F57"/>
    <w:rsid w:val="000249E6"/>
    <w:rsid w:val="00025125"/>
    <w:rsid w:val="00026B9C"/>
    <w:rsid w:val="000354CB"/>
    <w:rsid w:val="00041C63"/>
    <w:rsid w:val="000513D9"/>
    <w:rsid w:val="00064DE1"/>
    <w:rsid w:val="00081148"/>
    <w:rsid w:val="000812CB"/>
    <w:rsid w:val="000850F3"/>
    <w:rsid w:val="000B0500"/>
    <w:rsid w:val="000B3338"/>
    <w:rsid w:val="000C7C7F"/>
    <w:rsid w:val="000D3FF4"/>
    <w:rsid w:val="000D4A10"/>
    <w:rsid w:val="000D64A4"/>
    <w:rsid w:val="000E03F4"/>
    <w:rsid w:val="000E1C9D"/>
    <w:rsid w:val="000E428D"/>
    <w:rsid w:val="000E46F0"/>
    <w:rsid w:val="000E5186"/>
    <w:rsid w:val="000F0DCF"/>
    <w:rsid w:val="000F3D6B"/>
    <w:rsid w:val="000F7D13"/>
    <w:rsid w:val="00101039"/>
    <w:rsid w:val="0010150E"/>
    <w:rsid w:val="00103BB0"/>
    <w:rsid w:val="00107F34"/>
    <w:rsid w:val="001103BB"/>
    <w:rsid w:val="001144AA"/>
    <w:rsid w:val="00115D83"/>
    <w:rsid w:val="00116AEF"/>
    <w:rsid w:val="00120B19"/>
    <w:rsid w:val="001212F3"/>
    <w:rsid w:val="00123A36"/>
    <w:rsid w:val="0012659E"/>
    <w:rsid w:val="00133DAB"/>
    <w:rsid w:val="00133E66"/>
    <w:rsid w:val="0014097F"/>
    <w:rsid w:val="0014449A"/>
    <w:rsid w:val="00145E70"/>
    <w:rsid w:val="00146E1F"/>
    <w:rsid w:val="00147EDF"/>
    <w:rsid w:val="0015184B"/>
    <w:rsid w:val="001560FA"/>
    <w:rsid w:val="00156DFA"/>
    <w:rsid w:val="00165DAA"/>
    <w:rsid w:val="00167320"/>
    <w:rsid w:val="00176F76"/>
    <w:rsid w:val="00190C26"/>
    <w:rsid w:val="00191168"/>
    <w:rsid w:val="00192ABC"/>
    <w:rsid w:val="001A2476"/>
    <w:rsid w:val="001B5FF6"/>
    <w:rsid w:val="001B66A5"/>
    <w:rsid w:val="001C3A51"/>
    <w:rsid w:val="001D5F78"/>
    <w:rsid w:val="001E4F86"/>
    <w:rsid w:val="001E54FF"/>
    <w:rsid w:val="001E71F2"/>
    <w:rsid w:val="001F0F50"/>
    <w:rsid w:val="001F2644"/>
    <w:rsid w:val="002046A5"/>
    <w:rsid w:val="00212D54"/>
    <w:rsid w:val="002170D4"/>
    <w:rsid w:val="002170FC"/>
    <w:rsid w:val="002174EC"/>
    <w:rsid w:val="00225B3A"/>
    <w:rsid w:val="00244A26"/>
    <w:rsid w:val="002510AF"/>
    <w:rsid w:val="00255B6F"/>
    <w:rsid w:val="00256758"/>
    <w:rsid w:val="00265BEB"/>
    <w:rsid w:val="00271894"/>
    <w:rsid w:val="00276268"/>
    <w:rsid w:val="00284A37"/>
    <w:rsid w:val="002873DD"/>
    <w:rsid w:val="00294648"/>
    <w:rsid w:val="00296255"/>
    <w:rsid w:val="002A0496"/>
    <w:rsid w:val="002B185C"/>
    <w:rsid w:val="002B2F81"/>
    <w:rsid w:val="002E52E2"/>
    <w:rsid w:val="002E75C8"/>
    <w:rsid w:val="002F27EE"/>
    <w:rsid w:val="002F416C"/>
    <w:rsid w:val="002F4B76"/>
    <w:rsid w:val="00300DE1"/>
    <w:rsid w:val="00304035"/>
    <w:rsid w:val="00314E06"/>
    <w:rsid w:val="00314E2D"/>
    <w:rsid w:val="0031618E"/>
    <w:rsid w:val="00320C7C"/>
    <w:rsid w:val="00326470"/>
    <w:rsid w:val="00332CB4"/>
    <w:rsid w:val="00333E54"/>
    <w:rsid w:val="00337C7F"/>
    <w:rsid w:val="00346151"/>
    <w:rsid w:val="0035463E"/>
    <w:rsid w:val="00357C2B"/>
    <w:rsid w:val="00366700"/>
    <w:rsid w:val="00387604"/>
    <w:rsid w:val="00393B9B"/>
    <w:rsid w:val="003B4D4D"/>
    <w:rsid w:val="003B65D0"/>
    <w:rsid w:val="003B6909"/>
    <w:rsid w:val="003C0E8D"/>
    <w:rsid w:val="003C3742"/>
    <w:rsid w:val="003C50FF"/>
    <w:rsid w:val="003D1FFB"/>
    <w:rsid w:val="003E09F9"/>
    <w:rsid w:val="003E5B39"/>
    <w:rsid w:val="003F2AF3"/>
    <w:rsid w:val="003F6836"/>
    <w:rsid w:val="003F6A80"/>
    <w:rsid w:val="00402984"/>
    <w:rsid w:val="00403D40"/>
    <w:rsid w:val="00411ECB"/>
    <w:rsid w:val="00411F18"/>
    <w:rsid w:val="00414EC3"/>
    <w:rsid w:val="00417143"/>
    <w:rsid w:val="00424988"/>
    <w:rsid w:val="0042771D"/>
    <w:rsid w:val="00433CAD"/>
    <w:rsid w:val="00434E6C"/>
    <w:rsid w:val="00442ACB"/>
    <w:rsid w:val="00443031"/>
    <w:rsid w:val="0044595A"/>
    <w:rsid w:val="00447C69"/>
    <w:rsid w:val="00451338"/>
    <w:rsid w:val="00452E9C"/>
    <w:rsid w:val="004639CF"/>
    <w:rsid w:val="00483F5B"/>
    <w:rsid w:val="00486EB0"/>
    <w:rsid w:val="00490EB5"/>
    <w:rsid w:val="0049493F"/>
    <w:rsid w:val="00495344"/>
    <w:rsid w:val="0049704B"/>
    <w:rsid w:val="004A2927"/>
    <w:rsid w:val="004B7760"/>
    <w:rsid w:val="004B777A"/>
    <w:rsid w:val="004B7F44"/>
    <w:rsid w:val="004D766C"/>
    <w:rsid w:val="004E2BE8"/>
    <w:rsid w:val="004E5C0D"/>
    <w:rsid w:val="004E7A47"/>
    <w:rsid w:val="004F6D2E"/>
    <w:rsid w:val="004F7944"/>
    <w:rsid w:val="004F7BA1"/>
    <w:rsid w:val="00500858"/>
    <w:rsid w:val="005048E9"/>
    <w:rsid w:val="005217B3"/>
    <w:rsid w:val="00533EB6"/>
    <w:rsid w:val="00540D49"/>
    <w:rsid w:val="005412E6"/>
    <w:rsid w:val="00547F35"/>
    <w:rsid w:val="00555B5B"/>
    <w:rsid w:val="00560576"/>
    <w:rsid w:val="00561142"/>
    <w:rsid w:val="00562E2E"/>
    <w:rsid w:val="0056393A"/>
    <w:rsid w:val="00567286"/>
    <w:rsid w:val="0056768B"/>
    <w:rsid w:val="005725F2"/>
    <w:rsid w:val="00572760"/>
    <w:rsid w:val="00577B74"/>
    <w:rsid w:val="00583299"/>
    <w:rsid w:val="005A1D3E"/>
    <w:rsid w:val="005A2309"/>
    <w:rsid w:val="005A575E"/>
    <w:rsid w:val="005B180D"/>
    <w:rsid w:val="005B3689"/>
    <w:rsid w:val="005C2419"/>
    <w:rsid w:val="005C35A2"/>
    <w:rsid w:val="005C68B3"/>
    <w:rsid w:val="005F107D"/>
    <w:rsid w:val="005F184E"/>
    <w:rsid w:val="00602AF6"/>
    <w:rsid w:val="00613743"/>
    <w:rsid w:val="00616F41"/>
    <w:rsid w:val="0062430C"/>
    <w:rsid w:val="00624D44"/>
    <w:rsid w:val="00627E98"/>
    <w:rsid w:val="00647ED9"/>
    <w:rsid w:val="0065661C"/>
    <w:rsid w:val="00663645"/>
    <w:rsid w:val="0066505C"/>
    <w:rsid w:val="00672239"/>
    <w:rsid w:val="00691564"/>
    <w:rsid w:val="006935DB"/>
    <w:rsid w:val="006947C5"/>
    <w:rsid w:val="006A5BF1"/>
    <w:rsid w:val="006B439D"/>
    <w:rsid w:val="006B7143"/>
    <w:rsid w:val="006C2549"/>
    <w:rsid w:val="006D0BD6"/>
    <w:rsid w:val="006E038E"/>
    <w:rsid w:val="006E6E47"/>
    <w:rsid w:val="006F32F6"/>
    <w:rsid w:val="006F6289"/>
    <w:rsid w:val="00700BF8"/>
    <w:rsid w:val="00703FC6"/>
    <w:rsid w:val="00705B74"/>
    <w:rsid w:val="00706E51"/>
    <w:rsid w:val="00707026"/>
    <w:rsid w:val="00707859"/>
    <w:rsid w:val="00716DAC"/>
    <w:rsid w:val="00717906"/>
    <w:rsid w:val="00724573"/>
    <w:rsid w:val="00730C24"/>
    <w:rsid w:val="00740F2B"/>
    <w:rsid w:val="00743512"/>
    <w:rsid w:val="007500A8"/>
    <w:rsid w:val="0075143F"/>
    <w:rsid w:val="007526C1"/>
    <w:rsid w:val="0075657F"/>
    <w:rsid w:val="00771208"/>
    <w:rsid w:val="0078125E"/>
    <w:rsid w:val="00782C49"/>
    <w:rsid w:val="00792025"/>
    <w:rsid w:val="0079295C"/>
    <w:rsid w:val="007A3917"/>
    <w:rsid w:val="007A66AF"/>
    <w:rsid w:val="007C3135"/>
    <w:rsid w:val="007D66F0"/>
    <w:rsid w:val="007E2138"/>
    <w:rsid w:val="007E5DE7"/>
    <w:rsid w:val="007F07DD"/>
    <w:rsid w:val="007F1066"/>
    <w:rsid w:val="007F2A4D"/>
    <w:rsid w:val="007F7B30"/>
    <w:rsid w:val="00806154"/>
    <w:rsid w:val="00806B80"/>
    <w:rsid w:val="0081043A"/>
    <w:rsid w:val="00810F0A"/>
    <w:rsid w:val="008112CB"/>
    <w:rsid w:val="008212CC"/>
    <w:rsid w:val="00822309"/>
    <w:rsid w:val="00824503"/>
    <w:rsid w:val="008316EF"/>
    <w:rsid w:val="00832F03"/>
    <w:rsid w:val="0084310F"/>
    <w:rsid w:val="00852ADA"/>
    <w:rsid w:val="0085598E"/>
    <w:rsid w:val="00863225"/>
    <w:rsid w:val="00863EF7"/>
    <w:rsid w:val="0086702C"/>
    <w:rsid w:val="008A29F3"/>
    <w:rsid w:val="008A3071"/>
    <w:rsid w:val="008A4FCE"/>
    <w:rsid w:val="008C272A"/>
    <w:rsid w:val="008C6942"/>
    <w:rsid w:val="008D434F"/>
    <w:rsid w:val="008D6013"/>
    <w:rsid w:val="008D79DD"/>
    <w:rsid w:val="008E1825"/>
    <w:rsid w:val="008E2D05"/>
    <w:rsid w:val="008F681C"/>
    <w:rsid w:val="00900EEA"/>
    <w:rsid w:val="009012A7"/>
    <w:rsid w:val="00903B15"/>
    <w:rsid w:val="00906AC0"/>
    <w:rsid w:val="00906E30"/>
    <w:rsid w:val="00915F4B"/>
    <w:rsid w:val="0092139D"/>
    <w:rsid w:val="00927D44"/>
    <w:rsid w:val="00935F94"/>
    <w:rsid w:val="009366E2"/>
    <w:rsid w:val="00940EAA"/>
    <w:rsid w:val="00957045"/>
    <w:rsid w:val="00960BCA"/>
    <w:rsid w:val="00962AE7"/>
    <w:rsid w:val="00967BE9"/>
    <w:rsid w:val="009749B2"/>
    <w:rsid w:val="00976088"/>
    <w:rsid w:val="00990C66"/>
    <w:rsid w:val="009942F3"/>
    <w:rsid w:val="00997086"/>
    <w:rsid w:val="009974B7"/>
    <w:rsid w:val="009A7803"/>
    <w:rsid w:val="009B423A"/>
    <w:rsid w:val="009B46F4"/>
    <w:rsid w:val="009C72E0"/>
    <w:rsid w:val="009D1FFC"/>
    <w:rsid w:val="009D74DA"/>
    <w:rsid w:val="009E6BB1"/>
    <w:rsid w:val="009E7333"/>
    <w:rsid w:val="009F0DE6"/>
    <w:rsid w:val="009F3991"/>
    <w:rsid w:val="009F55A4"/>
    <w:rsid w:val="00A06800"/>
    <w:rsid w:val="00A1137C"/>
    <w:rsid w:val="00A13664"/>
    <w:rsid w:val="00A265C0"/>
    <w:rsid w:val="00A27880"/>
    <w:rsid w:val="00A27A82"/>
    <w:rsid w:val="00A349F8"/>
    <w:rsid w:val="00A41AE6"/>
    <w:rsid w:val="00A4747F"/>
    <w:rsid w:val="00A509A5"/>
    <w:rsid w:val="00A522CE"/>
    <w:rsid w:val="00A545F3"/>
    <w:rsid w:val="00A62E1A"/>
    <w:rsid w:val="00A64621"/>
    <w:rsid w:val="00A654C4"/>
    <w:rsid w:val="00A66841"/>
    <w:rsid w:val="00A70518"/>
    <w:rsid w:val="00A75136"/>
    <w:rsid w:val="00A755F3"/>
    <w:rsid w:val="00A757A9"/>
    <w:rsid w:val="00A77697"/>
    <w:rsid w:val="00A81E59"/>
    <w:rsid w:val="00A86262"/>
    <w:rsid w:val="00A92074"/>
    <w:rsid w:val="00A92327"/>
    <w:rsid w:val="00A9525B"/>
    <w:rsid w:val="00AA08F2"/>
    <w:rsid w:val="00AA0E9F"/>
    <w:rsid w:val="00AA345B"/>
    <w:rsid w:val="00AA49E8"/>
    <w:rsid w:val="00AC256C"/>
    <w:rsid w:val="00AC5834"/>
    <w:rsid w:val="00AD5A7F"/>
    <w:rsid w:val="00AE5B7A"/>
    <w:rsid w:val="00AF1F5C"/>
    <w:rsid w:val="00AF7669"/>
    <w:rsid w:val="00B05D33"/>
    <w:rsid w:val="00B14E53"/>
    <w:rsid w:val="00B163E1"/>
    <w:rsid w:val="00B263C2"/>
    <w:rsid w:val="00B275C4"/>
    <w:rsid w:val="00B42F25"/>
    <w:rsid w:val="00B43462"/>
    <w:rsid w:val="00B436A5"/>
    <w:rsid w:val="00B4414E"/>
    <w:rsid w:val="00B64E7A"/>
    <w:rsid w:val="00B653E0"/>
    <w:rsid w:val="00B66120"/>
    <w:rsid w:val="00B86FEC"/>
    <w:rsid w:val="00B9109B"/>
    <w:rsid w:val="00B91A4D"/>
    <w:rsid w:val="00B92725"/>
    <w:rsid w:val="00B95125"/>
    <w:rsid w:val="00BA06EF"/>
    <w:rsid w:val="00BA7D0B"/>
    <w:rsid w:val="00BB4D50"/>
    <w:rsid w:val="00BC62B0"/>
    <w:rsid w:val="00BE03BA"/>
    <w:rsid w:val="00BE2532"/>
    <w:rsid w:val="00BE2A5A"/>
    <w:rsid w:val="00BF7C43"/>
    <w:rsid w:val="00C0588B"/>
    <w:rsid w:val="00C070EC"/>
    <w:rsid w:val="00C10C69"/>
    <w:rsid w:val="00C122B5"/>
    <w:rsid w:val="00C1299E"/>
    <w:rsid w:val="00C14928"/>
    <w:rsid w:val="00C21073"/>
    <w:rsid w:val="00C25F37"/>
    <w:rsid w:val="00C26F9C"/>
    <w:rsid w:val="00C363DF"/>
    <w:rsid w:val="00C50367"/>
    <w:rsid w:val="00C5093F"/>
    <w:rsid w:val="00C60613"/>
    <w:rsid w:val="00C65BC8"/>
    <w:rsid w:val="00C66E62"/>
    <w:rsid w:val="00C72133"/>
    <w:rsid w:val="00C76707"/>
    <w:rsid w:val="00C86AE9"/>
    <w:rsid w:val="00CA4529"/>
    <w:rsid w:val="00CA5028"/>
    <w:rsid w:val="00CB2302"/>
    <w:rsid w:val="00CB2C67"/>
    <w:rsid w:val="00CB46B0"/>
    <w:rsid w:val="00CC2165"/>
    <w:rsid w:val="00CC21FF"/>
    <w:rsid w:val="00CD0752"/>
    <w:rsid w:val="00CE15C8"/>
    <w:rsid w:val="00CE21F3"/>
    <w:rsid w:val="00CE3727"/>
    <w:rsid w:val="00CE5FA5"/>
    <w:rsid w:val="00CE7EB7"/>
    <w:rsid w:val="00CF3697"/>
    <w:rsid w:val="00CF6D37"/>
    <w:rsid w:val="00D00E68"/>
    <w:rsid w:val="00D052F9"/>
    <w:rsid w:val="00D15EDD"/>
    <w:rsid w:val="00D16225"/>
    <w:rsid w:val="00D22A50"/>
    <w:rsid w:val="00D25830"/>
    <w:rsid w:val="00D312EE"/>
    <w:rsid w:val="00D3389B"/>
    <w:rsid w:val="00D40BC8"/>
    <w:rsid w:val="00D4299A"/>
    <w:rsid w:val="00D471FC"/>
    <w:rsid w:val="00D5001E"/>
    <w:rsid w:val="00D53E12"/>
    <w:rsid w:val="00D5637E"/>
    <w:rsid w:val="00D57399"/>
    <w:rsid w:val="00D63FD1"/>
    <w:rsid w:val="00D72974"/>
    <w:rsid w:val="00D73527"/>
    <w:rsid w:val="00D735FD"/>
    <w:rsid w:val="00D7626A"/>
    <w:rsid w:val="00D8572B"/>
    <w:rsid w:val="00D92115"/>
    <w:rsid w:val="00D9459C"/>
    <w:rsid w:val="00DA4BC3"/>
    <w:rsid w:val="00DA7372"/>
    <w:rsid w:val="00DB06EE"/>
    <w:rsid w:val="00DB23F6"/>
    <w:rsid w:val="00DB2B95"/>
    <w:rsid w:val="00DB4279"/>
    <w:rsid w:val="00DB62EB"/>
    <w:rsid w:val="00DB638C"/>
    <w:rsid w:val="00DB788C"/>
    <w:rsid w:val="00DC58E6"/>
    <w:rsid w:val="00DD5ACD"/>
    <w:rsid w:val="00DE1599"/>
    <w:rsid w:val="00DE621D"/>
    <w:rsid w:val="00DF2E6B"/>
    <w:rsid w:val="00DF34CC"/>
    <w:rsid w:val="00E05DD8"/>
    <w:rsid w:val="00E1279E"/>
    <w:rsid w:val="00E17A4B"/>
    <w:rsid w:val="00E23B8A"/>
    <w:rsid w:val="00E241E3"/>
    <w:rsid w:val="00E25F84"/>
    <w:rsid w:val="00E308D9"/>
    <w:rsid w:val="00E30F22"/>
    <w:rsid w:val="00E42B83"/>
    <w:rsid w:val="00E55022"/>
    <w:rsid w:val="00E6089F"/>
    <w:rsid w:val="00E709CA"/>
    <w:rsid w:val="00E737B5"/>
    <w:rsid w:val="00E741EE"/>
    <w:rsid w:val="00E77096"/>
    <w:rsid w:val="00E85F5E"/>
    <w:rsid w:val="00EA3596"/>
    <w:rsid w:val="00ED0413"/>
    <w:rsid w:val="00EF2BED"/>
    <w:rsid w:val="00F11EFC"/>
    <w:rsid w:val="00F207E8"/>
    <w:rsid w:val="00F20ACD"/>
    <w:rsid w:val="00F22223"/>
    <w:rsid w:val="00F2262F"/>
    <w:rsid w:val="00F32D45"/>
    <w:rsid w:val="00F36DC9"/>
    <w:rsid w:val="00F429B1"/>
    <w:rsid w:val="00F47522"/>
    <w:rsid w:val="00F54A3A"/>
    <w:rsid w:val="00F55635"/>
    <w:rsid w:val="00F6101A"/>
    <w:rsid w:val="00F63EBD"/>
    <w:rsid w:val="00F71EDF"/>
    <w:rsid w:val="00F807FD"/>
    <w:rsid w:val="00F87E5F"/>
    <w:rsid w:val="00F924A7"/>
    <w:rsid w:val="00FA4A6D"/>
    <w:rsid w:val="00FC6759"/>
    <w:rsid w:val="00FD2D2C"/>
    <w:rsid w:val="00FD47D8"/>
    <w:rsid w:val="00FD63C4"/>
    <w:rsid w:val="00FE01FA"/>
    <w:rsid w:val="00FE29B2"/>
    <w:rsid w:val="00FE52B3"/>
    <w:rsid w:val="00FE6AEB"/>
    <w:rsid w:val="00FF2B6C"/>
    <w:rsid w:val="00FF4BE0"/>
    <w:rsid w:val="00FF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6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8C"/>
    <w:pPr>
      <w:widowControl w:val="0"/>
      <w:spacing w:after="0" w:line="240" w:lineRule="auto"/>
    </w:pPr>
    <w:rPr>
      <w:rFonts w:ascii="Cambria" w:eastAsia="MS Mincho" w:hAnsi="Cambria"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1D"/>
    <w:pPr>
      <w:tabs>
        <w:tab w:val="center" w:pos="4513"/>
        <w:tab w:val="right" w:pos="9026"/>
      </w:tabs>
    </w:pPr>
  </w:style>
  <w:style w:type="character" w:customStyle="1" w:styleId="HeaderChar">
    <w:name w:val="Header Char"/>
    <w:basedOn w:val="DefaultParagraphFont"/>
    <w:link w:val="Header"/>
    <w:uiPriority w:val="99"/>
    <w:rsid w:val="0042771D"/>
  </w:style>
  <w:style w:type="paragraph" w:styleId="Footer">
    <w:name w:val="footer"/>
    <w:basedOn w:val="Normal"/>
    <w:link w:val="FooterChar"/>
    <w:uiPriority w:val="99"/>
    <w:unhideWhenUsed/>
    <w:rsid w:val="0042771D"/>
    <w:pPr>
      <w:tabs>
        <w:tab w:val="center" w:pos="4513"/>
        <w:tab w:val="right" w:pos="9026"/>
      </w:tabs>
    </w:pPr>
  </w:style>
  <w:style w:type="character" w:customStyle="1" w:styleId="FooterChar">
    <w:name w:val="Footer Char"/>
    <w:basedOn w:val="DefaultParagraphFont"/>
    <w:link w:val="Footer"/>
    <w:uiPriority w:val="99"/>
    <w:rsid w:val="0042771D"/>
  </w:style>
  <w:style w:type="character" w:styleId="Hyperlink">
    <w:name w:val="Hyperlink"/>
    <w:basedOn w:val="DefaultParagraphFont"/>
    <w:uiPriority w:val="99"/>
    <w:unhideWhenUsed/>
    <w:rsid w:val="00AA08F2"/>
    <w:rPr>
      <w:color w:val="0563C1" w:themeColor="hyperlink"/>
      <w:u w:val="single"/>
    </w:rPr>
  </w:style>
  <w:style w:type="character" w:customStyle="1" w:styleId="UnresolvedMention1">
    <w:name w:val="Unresolved Mention1"/>
    <w:basedOn w:val="DefaultParagraphFont"/>
    <w:uiPriority w:val="99"/>
    <w:semiHidden/>
    <w:unhideWhenUsed/>
    <w:rsid w:val="00AA08F2"/>
    <w:rPr>
      <w:color w:val="605E5C"/>
      <w:shd w:val="clear" w:color="auto" w:fill="E1DFDD"/>
    </w:rPr>
  </w:style>
  <w:style w:type="paragraph" w:styleId="ListParagraph">
    <w:name w:val="List Paragraph"/>
    <w:basedOn w:val="Normal"/>
    <w:uiPriority w:val="34"/>
    <w:qFormat/>
    <w:rsid w:val="00F22223"/>
    <w:pPr>
      <w:ind w:left="720"/>
      <w:contextualSpacing/>
    </w:pPr>
  </w:style>
  <w:style w:type="paragraph" w:styleId="BalloonText">
    <w:name w:val="Balloon Text"/>
    <w:basedOn w:val="Normal"/>
    <w:link w:val="BalloonTextChar"/>
    <w:uiPriority w:val="99"/>
    <w:semiHidden/>
    <w:unhideWhenUsed/>
    <w:rsid w:val="00A41AE6"/>
    <w:rPr>
      <w:rFonts w:ascii="Tahoma" w:hAnsi="Tahoma" w:cs="Tahoma"/>
      <w:sz w:val="16"/>
      <w:szCs w:val="16"/>
    </w:rPr>
  </w:style>
  <w:style w:type="character" w:customStyle="1" w:styleId="BalloonTextChar">
    <w:name w:val="Balloon Text Char"/>
    <w:basedOn w:val="DefaultParagraphFont"/>
    <w:link w:val="BalloonText"/>
    <w:uiPriority w:val="99"/>
    <w:semiHidden/>
    <w:rsid w:val="00A41AE6"/>
    <w:rPr>
      <w:rFonts w:ascii="Tahoma" w:hAnsi="Tahoma" w:cs="Tahoma"/>
      <w:sz w:val="16"/>
      <w:szCs w:val="16"/>
    </w:rPr>
  </w:style>
  <w:style w:type="paragraph" w:customStyle="1" w:styleId="Default">
    <w:name w:val="Default"/>
    <w:uiPriority w:val="99"/>
    <w:rsid w:val="00DB638C"/>
    <w:pPr>
      <w:widowControl w:val="0"/>
      <w:autoSpaceDE w:val="0"/>
      <w:autoSpaceDN w:val="0"/>
      <w:adjustRightInd w:val="0"/>
      <w:spacing w:after="0" w:line="240" w:lineRule="auto"/>
    </w:pPr>
    <w:rPr>
      <w:rFonts w:ascii="Arial" w:eastAsia="PMingLiU" w:hAnsi="Arial" w:cs="Arial"/>
      <w:color w:val="000000"/>
      <w:sz w:val="24"/>
      <w:szCs w:val="24"/>
      <w:lang w:val="fr-F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8C"/>
    <w:pPr>
      <w:widowControl w:val="0"/>
      <w:spacing w:after="0" w:line="240" w:lineRule="auto"/>
    </w:pPr>
    <w:rPr>
      <w:rFonts w:ascii="Cambria" w:eastAsia="MS Mincho" w:hAnsi="Cambria"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1D"/>
    <w:pPr>
      <w:tabs>
        <w:tab w:val="center" w:pos="4513"/>
        <w:tab w:val="right" w:pos="9026"/>
      </w:tabs>
    </w:pPr>
  </w:style>
  <w:style w:type="character" w:customStyle="1" w:styleId="HeaderChar">
    <w:name w:val="Header Char"/>
    <w:basedOn w:val="DefaultParagraphFont"/>
    <w:link w:val="Header"/>
    <w:uiPriority w:val="99"/>
    <w:rsid w:val="0042771D"/>
  </w:style>
  <w:style w:type="paragraph" w:styleId="Footer">
    <w:name w:val="footer"/>
    <w:basedOn w:val="Normal"/>
    <w:link w:val="FooterChar"/>
    <w:uiPriority w:val="99"/>
    <w:unhideWhenUsed/>
    <w:rsid w:val="0042771D"/>
    <w:pPr>
      <w:tabs>
        <w:tab w:val="center" w:pos="4513"/>
        <w:tab w:val="right" w:pos="9026"/>
      </w:tabs>
    </w:pPr>
  </w:style>
  <w:style w:type="character" w:customStyle="1" w:styleId="FooterChar">
    <w:name w:val="Footer Char"/>
    <w:basedOn w:val="DefaultParagraphFont"/>
    <w:link w:val="Footer"/>
    <w:uiPriority w:val="99"/>
    <w:rsid w:val="0042771D"/>
  </w:style>
  <w:style w:type="character" w:styleId="Hyperlink">
    <w:name w:val="Hyperlink"/>
    <w:basedOn w:val="DefaultParagraphFont"/>
    <w:uiPriority w:val="99"/>
    <w:unhideWhenUsed/>
    <w:rsid w:val="00AA08F2"/>
    <w:rPr>
      <w:color w:val="0563C1" w:themeColor="hyperlink"/>
      <w:u w:val="single"/>
    </w:rPr>
  </w:style>
  <w:style w:type="character" w:customStyle="1" w:styleId="UnresolvedMention1">
    <w:name w:val="Unresolved Mention1"/>
    <w:basedOn w:val="DefaultParagraphFont"/>
    <w:uiPriority w:val="99"/>
    <w:semiHidden/>
    <w:unhideWhenUsed/>
    <w:rsid w:val="00AA08F2"/>
    <w:rPr>
      <w:color w:val="605E5C"/>
      <w:shd w:val="clear" w:color="auto" w:fill="E1DFDD"/>
    </w:rPr>
  </w:style>
  <w:style w:type="paragraph" w:styleId="ListParagraph">
    <w:name w:val="List Paragraph"/>
    <w:basedOn w:val="Normal"/>
    <w:uiPriority w:val="34"/>
    <w:qFormat/>
    <w:rsid w:val="00F22223"/>
    <w:pPr>
      <w:ind w:left="720"/>
      <w:contextualSpacing/>
    </w:pPr>
  </w:style>
  <w:style w:type="paragraph" w:styleId="BalloonText">
    <w:name w:val="Balloon Text"/>
    <w:basedOn w:val="Normal"/>
    <w:link w:val="BalloonTextChar"/>
    <w:uiPriority w:val="99"/>
    <w:semiHidden/>
    <w:unhideWhenUsed/>
    <w:rsid w:val="00A41AE6"/>
    <w:rPr>
      <w:rFonts w:ascii="Tahoma" w:hAnsi="Tahoma" w:cs="Tahoma"/>
      <w:sz w:val="16"/>
      <w:szCs w:val="16"/>
    </w:rPr>
  </w:style>
  <w:style w:type="character" w:customStyle="1" w:styleId="BalloonTextChar">
    <w:name w:val="Balloon Text Char"/>
    <w:basedOn w:val="DefaultParagraphFont"/>
    <w:link w:val="BalloonText"/>
    <w:uiPriority w:val="99"/>
    <w:semiHidden/>
    <w:rsid w:val="00A41AE6"/>
    <w:rPr>
      <w:rFonts w:ascii="Tahoma" w:hAnsi="Tahoma" w:cs="Tahoma"/>
      <w:sz w:val="16"/>
      <w:szCs w:val="16"/>
    </w:rPr>
  </w:style>
  <w:style w:type="paragraph" w:customStyle="1" w:styleId="Default">
    <w:name w:val="Default"/>
    <w:uiPriority w:val="99"/>
    <w:rsid w:val="00DB638C"/>
    <w:pPr>
      <w:widowControl w:val="0"/>
      <w:autoSpaceDE w:val="0"/>
      <w:autoSpaceDN w:val="0"/>
      <w:adjustRightInd w:val="0"/>
      <w:spacing w:after="0" w:line="240" w:lineRule="auto"/>
    </w:pPr>
    <w:rPr>
      <w:rFonts w:ascii="Arial" w:eastAsia="PMingLiU" w:hAnsi="Arial" w:cs="Arial"/>
      <w:color w:val="000000"/>
      <w:sz w:val="24"/>
      <w:szCs w:val="24"/>
      <w:lang w:val="fr-F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tvydas.Stareika@cofac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Coface</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 Jakeviciene</dc:creator>
  <cp:lastModifiedBy>Zana Jakeviciene</cp:lastModifiedBy>
  <cp:revision>36</cp:revision>
  <cp:lastPrinted>2019-09-04T11:07:00Z</cp:lastPrinted>
  <dcterms:created xsi:type="dcterms:W3CDTF">2019-09-17T07:26:00Z</dcterms:created>
  <dcterms:modified xsi:type="dcterms:W3CDTF">2019-09-17T08:39:00Z</dcterms:modified>
</cp:coreProperties>
</file>