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10" w:rsidRPr="009417CF" w:rsidRDefault="006341F0" w:rsidP="004C5410">
      <w:pPr>
        <w:tabs>
          <w:tab w:val="left" w:pos="3450"/>
          <w:tab w:val="center" w:pos="4816"/>
        </w:tabs>
        <w:spacing w:after="0" w:line="240" w:lineRule="auto"/>
        <w:rPr>
          <w:rFonts w:ascii="Arial" w:hAnsi="Arial" w:cs="Arial"/>
          <w:b/>
          <w:sz w:val="20"/>
          <w:szCs w:val="20"/>
        </w:rPr>
      </w:pPr>
      <w:r w:rsidRPr="009417CF">
        <w:rPr>
          <w:rFonts w:ascii="Arial" w:hAnsi="Arial" w:cs="Arial"/>
          <w:b/>
          <w:noProof/>
          <w:sz w:val="20"/>
          <w:szCs w:val="20"/>
          <w:lang w:eastAsia="lt-LT" w:bidi="bn-IN"/>
        </w:rPr>
        <w:drawing>
          <wp:anchor distT="0" distB="0" distL="114935" distR="114935" simplePos="0" relativeHeight="251657216" behindDoc="1" locked="0" layoutInCell="1" allowOverlap="1">
            <wp:simplePos x="0" y="0"/>
            <wp:positionH relativeFrom="column">
              <wp:posOffset>304165</wp:posOffset>
            </wp:positionH>
            <wp:positionV relativeFrom="page">
              <wp:posOffset>478155</wp:posOffset>
            </wp:positionV>
            <wp:extent cx="5761990" cy="144589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1990" cy="1445895"/>
                    </a:xfrm>
                    <a:prstGeom prst="rect">
                      <a:avLst/>
                    </a:prstGeom>
                    <a:solidFill>
                      <a:srgbClr val="FFFFFF"/>
                    </a:solidFill>
                    <a:ln w="9525">
                      <a:noFill/>
                      <a:miter lim="800000"/>
                      <a:headEnd/>
                      <a:tailEnd/>
                    </a:ln>
                  </pic:spPr>
                </pic:pic>
              </a:graphicData>
            </a:graphic>
          </wp:anchor>
        </w:drawing>
      </w:r>
    </w:p>
    <w:p w:rsidR="004C5410" w:rsidRPr="009417CF" w:rsidRDefault="004C5410" w:rsidP="004C5410">
      <w:pPr>
        <w:tabs>
          <w:tab w:val="left" w:pos="3450"/>
          <w:tab w:val="center" w:pos="4816"/>
        </w:tabs>
        <w:spacing w:after="0" w:line="240" w:lineRule="auto"/>
        <w:rPr>
          <w:rFonts w:ascii="Arial" w:hAnsi="Arial" w:cs="Arial"/>
          <w:b/>
          <w:sz w:val="20"/>
          <w:szCs w:val="20"/>
        </w:rPr>
      </w:pPr>
    </w:p>
    <w:p w:rsidR="004C5410" w:rsidRPr="009417CF" w:rsidRDefault="00CC1FB6" w:rsidP="004C5410">
      <w:pPr>
        <w:tabs>
          <w:tab w:val="left" w:pos="3450"/>
          <w:tab w:val="center" w:pos="4816"/>
        </w:tabs>
        <w:spacing w:after="0" w:line="240" w:lineRule="auto"/>
        <w:jc w:val="center"/>
        <w:rPr>
          <w:rFonts w:ascii="Arial" w:hAnsi="Arial" w:cs="Arial"/>
          <w:b/>
          <w:sz w:val="20"/>
          <w:szCs w:val="20"/>
        </w:rPr>
      </w:pPr>
      <w:r>
        <w:rPr>
          <w:rFonts w:ascii="Arial" w:hAnsi="Arial" w:cs="Arial"/>
          <w:b/>
          <w:noProof/>
          <w:sz w:val="20"/>
          <w:szCs w:val="20"/>
          <w:lang w:eastAsia="lt-LT"/>
        </w:rPr>
        <w:pict>
          <v:shapetype id="_x0000_t202" coordsize="21600,21600" o:spt="202" path="m,l,21600r21600,l21600,xe">
            <v:stroke joinstyle="miter"/>
            <v:path gradientshapeok="t" o:connecttype="rect"/>
          </v:shapetype>
          <v:shape id="Zone de texte 3" o:spid="_x0000_s1026" type="#_x0000_t202" style="position:absolute;left:0;text-align:left;margin-left:37.45pt;margin-top:88.5pt;width:472.4pt;height:42.25pt;z-index:-25165824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GiQIAAOcEAAAOAAAAZHJzL2Uyb0RvYy54bWysVN9vmzAQfp+0/8HyOwUSCAkqqWgQ06So&#10;rZROlfbmGNOgge3ZTqGr9r/vbELTdXua9uIcd9/9vi+XV0PXoiemdCN4hsOLACPGqaga/pjhL/el&#10;t8RIG8Ir0grOMvzMNL5af/xw2cuUzcRBtBVTCIJwnfYywwdjZOr7mh5YR/SFkIyDsRaqIwY+1aNf&#10;KdJD9K71Z0Gw8HuhKqkEZVqDthiNeO3i1zWj5rauNTOozTDUZtyr3Lu3r7++JOmjIvLQ0FMZ5B+q&#10;6EjDIelrqIIYgo6q+SNU11AltKjNBRWdL+q6ocz1AN2EwbtudgcimesFhqPl65j0/wtLb57uFGqq&#10;DM8x4qSDFX2FRaGKIcMGw9DcjqiXOgXkTgLWDNdigFW7drXcCvpNA8R/gxkdNKDtSIZadfYXmkXg&#10;CFt4fp08pEAUlPFqtYqWYKJgi+eLOIltXv/sLZU2n5jokBUyrGCzrgLytNVmhE4Qm4yLsmlb0JO0&#10;5b8pIOaoYe48Rm+SQiUgWqStya3upczz2aKYF16xXCVetGczb1kGkXedR3G4SZIyLJKf4wmdnTZx&#10;MsuTeOUt8jj0ojBYenkezLyizIM8iMrNKrp2TlDIlNQNb5yXHaMZ9gOUbsW9qJ5h6EqMl6slLRsY&#10;wJZoc0cUnCrMDOhnbuGpW9FnWJwkjA5C/fib3uLhgsCKUQ+nn2H9/UgUw6j9zOG2LE+cEEEr8KEm&#10;7X4S+LHbCGBUCOSW1IkWZ9pJrJXoHoCZuc0EJsIp5MuwmcSNGUkIzKYszx0IGCGJ2fKdpNN92ZXe&#10;Dw9EydPe7VHeiIkYJH23/hE77js/GlE37jbOkzwdKrDJXdeJ+Zaub78d6vz/tP4FAAD//wMAUEsD&#10;BBQABgAIAAAAIQDUF0OQ2wAAAAsBAAAPAAAAZHJzL2Rvd25yZXYueG1sTI/BTsMwDIbvSLxDZCRu&#10;LO0EDStNJ1TEGRiIc9qYtqJxqiTdytvjneBo+9Pv76/2q5vEEUMcPWnINxkIpM7bkXoNH+/PN/cg&#10;YjJkzeQJNfxghH19eVGZ0voTveHxkHrBIRRLo2FIaS6ljN2AzsSNn5H49uWDM4nH0EsbzInD3SS3&#10;WVZIZ0biD4OZsRmw+z4sTsPYNu4pqKXpPnF6fVksFTaQ1tdX6+MDiIRr+oPhrM/qULNT6xeyUUwa&#10;1O2OSd4rxZ3OQJbvFIhWw7bI70DWlfzfof4FAAD//wMAUEsBAi0AFAAGAAgAAAAhALaDOJL+AAAA&#10;4QEAABMAAAAAAAAAAAAAAAAAAAAAAFtDb250ZW50X1R5cGVzXS54bWxQSwECLQAUAAYACAAAACEA&#10;OP0h/9YAAACUAQAACwAAAAAAAAAAAAAAAAAvAQAAX3JlbHMvLnJlbHNQSwECLQAUAAYACAAAACEA&#10;yaWPxokCAADnBAAADgAAAAAAAAAAAAAAAAAuAgAAZHJzL2Uyb0RvYy54bWxQSwECLQAUAAYACAAA&#10;ACEA1BdDkNsAAAALAQAADwAAAAAAAAAAAAAAAADjBAAAZHJzL2Rvd25yZXYueG1sUEsFBgAAAAAE&#10;AAQA8wAAAOsFAAAAAA==&#10;" filled="f" stroked="f">
            <v:path arrowok="t"/>
            <v:textbox inset="0,,0,0">
              <w:txbxContent>
                <w:p w:rsidR="004C5410"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PRANEŠIMAS</w:t>
                  </w:r>
                </w:p>
                <w:p w:rsidR="004C5410"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ŽINIASKLAIDAI</w:t>
                  </w:r>
                </w:p>
                <w:p w:rsidR="004C5410" w:rsidRDefault="004C5410" w:rsidP="004C5410">
                  <w:pPr>
                    <w:spacing w:line="270" w:lineRule="exact"/>
                    <w:jc w:val="center"/>
                    <w:rPr>
                      <w:rFonts w:ascii="Arial" w:hAnsi="Arial" w:cs="Arial"/>
                      <w:b/>
                      <w:bCs/>
                      <w:color w:val="4FA76E"/>
                      <w:spacing w:val="514"/>
                      <w:sz w:val="26"/>
                      <w:szCs w:val="26"/>
                    </w:rPr>
                  </w:pPr>
                </w:p>
                <w:p w:rsidR="004C5410" w:rsidRDefault="004C5410" w:rsidP="004C5410">
                  <w:pPr>
                    <w:spacing w:line="270" w:lineRule="exact"/>
                    <w:jc w:val="center"/>
                    <w:rPr>
                      <w:rFonts w:ascii="Arial" w:hAnsi="Arial" w:cs="Arial"/>
                      <w:b/>
                      <w:bCs/>
                      <w:color w:val="4FA76E"/>
                      <w:spacing w:val="514"/>
                      <w:sz w:val="26"/>
                      <w:szCs w:val="26"/>
                    </w:rPr>
                  </w:pPr>
                </w:p>
                <w:p w:rsidR="004C5410" w:rsidRPr="009A4ED6"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 xml:space="preserve"> ŽINIASKLAIDAI</w:t>
                  </w:r>
                </w:p>
              </w:txbxContent>
            </v:textbox>
            <w10:wrap anchory="page"/>
          </v:shape>
        </w:pict>
      </w:r>
    </w:p>
    <w:p w:rsidR="004C5410" w:rsidRPr="009417CF" w:rsidRDefault="004C5410" w:rsidP="004C5410">
      <w:pPr>
        <w:tabs>
          <w:tab w:val="left" w:pos="3450"/>
          <w:tab w:val="center" w:pos="4816"/>
        </w:tabs>
        <w:spacing w:after="0" w:line="240" w:lineRule="auto"/>
        <w:jc w:val="center"/>
        <w:rPr>
          <w:rFonts w:ascii="Arial" w:hAnsi="Arial" w:cs="Arial"/>
          <w:b/>
          <w:sz w:val="20"/>
          <w:szCs w:val="20"/>
        </w:rPr>
      </w:pPr>
    </w:p>
    <w:p w:rsidR="004C5410" w:rsidRPr="009417CF" w:rsidRDefault="004C5410" w:rsidP="004C5410">
      <w:pPr>
        <w:tabs>
          <w:tab w:val="left" w:pos="3450"/>
          <w:tab w:val="center" w:pos="4816"/>
        </w:tabs>
        <w:spacing w:after="0" w:line="240" w:lineRule="auto"/>
        <w:rPr>
          <w:rFonts w:ascii="Arial" w:hAnsi="Arial" w:cs="Arial"/>
          <w:b/>
          <w:sz w:val="20"/>
          <w:szCs w:val="20"/>
        </w:rPr>
      </w:pPr>
    </w:p>
    <w:p w:rsidR="004C5410" w:rsidRPr="009417CF" w:rsidRDefault="004C5410" w:rsidP="004C5410">
      <w:pPr>
        <w:tabs>
          <w:tab w:val="left" w:pos="3450"/>
          <w:tab w:val="center" w:pos="4816"/>
        </w:tabs>
        <w:spacing w:after="0" w:line="240" w:lineRule="auto"/>
        <w:rPr>
          <w:rFonts w:ascii="Arial" w:hAnsi="Arial" w:cs="Arial"/>
          <w:b/>
          <w:sz w:val="20"/>
          <w:szCs w:val="20"/>
        </w:rPr>
      </w:pPr>
    </w:p>
    <w:p w:rsidR="004C5410" w:rsidRPr="009417CF" w:rsidRDefault="004C5410" w:rsidP="004C5410">
      <w:pPr>
        <w:tabs>
          <w:tab w:val="left" w:pos="3450"/>
          <w:tab w:val="center" w:pos="4816"/>
        </w:tabs>
        <w:spacing w:after="0" w:line="240" w:lineRule="auto"/>
        <w:rPr>
          <w:rFonts w:ascii="Arial" w:hAnsi="Arial" w:cs="Arial"/>
          <w:b/>
          <w:sz w:val="20"/>
          <w:szCs w:val="20"/>
        </w:rPr>
      </w:pPr>
    </w:p>
    <w:p w:rsidR="004C5410" w:rsidRPr="009417CF" w:rsidRDefault="004C5410" w:rsidP="004C5410">
      <w:pPr>
        <w:tabs>
          <w:tab w:val="left" w:pos="3450"/>
          <w:tab w:val="center" w:pos="4816"/>
        </w:tabs>
        <w:spacing w:after="0" w:line="240" w:lineRule="auto"/>
        <w:rPr>
          <w:rFonts w:ascii="Arial" w:hAnsi="Arial" w:cs="Arial"/>
          <w:b/>
          <w:sz w:val="20"/>
          <w:szCs w:val="20"/>
        </w:rPr>
      </w:pPr>
    </w:p>
    <w:p w:rsidR="00E14554" w:rsidRPr="009417CF" w:rsidRDefault="00E14554" w:rsidP="004C5410">
      <w:pPr>
        <w:tabs>
          <w:tab w:val="left" w:pos="3450"/>
          <w:tab w:val="center" w:pos="4816"/>
        </w:tabs>
        <w:spacing w:after="0" w:line="240" w:lineRule="auto"/>
        <w:rPr>
          <w:rFonts w:ascii="Arial" w:hAnsi="Arial" w:cs="Arial"/>
          <w:b/>
          <w:sz w:val="20"/>
          <w:szCs w:val="20"/>
        </w:rPr>
      </w:pPr>
    </w:p>
    <w:p w:rsidR="00E14554" w:rsidRPr="009417CF" w:rsidRDefault="00E14554" w:rsidP="00E14554">
      <w:pPr>
        <w:spacing w:after="0"/>
        <w:jc w:val="right"/>
        <w:rPr>
          <w:rFonts w:ascii="Arial" w:hAnsi="Arial" w:cs="Arial"/>
          <w:b/>
          <w:sz w:val="20"/>
          <w:szCs w:val="20"/>
        </w:rPr>
      </w:pPr>
      <w:r w:rsidRPr="009417CF">
        <w:rPr>
          <w:rFonts w:ascii="Arial" w:hAnsi="Arial" w:cs="Arial"/>
          <w:b/>
          <w:sz w:val="20"/>
          <w:szCs w:val="20"/>
        </w:rPr>
        <w:t xml:space="preserve">2015 m. </w:t>
      </w:r>
      <w:r w:rsidR="00AF7151">
        <w:rPr>
          <w:rFonts w:ascii="Arial" w:hAnsi="Arial" w:cs="Arial"/>
          <w:b/>
          <w:sz w:val="20"/>
          <w:szCs w:val="20"/>
        </w:rPr>
        <w:t>spalio</w:t>
      </w:r>
      <w:r w:rsidR="00E60F05" w:rsidRPr="009417CF">
        <w:rPr>
          <w:rFonts w:ascii="Arial" w:hAnsi="Arial" w:cs="Arial"/>
          <w:b/>
          <w:sz w:val="20"/>
          <w:szCs w:val="20"/>
        </w:rPr>
        <w:t xml:space="preserve"> </w:t>
      </w:r>
      <w:bookmarkStart w:id="0" w:name="_GoBack"/>
      <w:bookmarkEnd w:id="0"/>
      <w:r w:rsidR="00AF7151">
        <w:rPr>
          <w:rFonts w:ascii="Arial" w:hAnsi="Arial" w:cs="Arial"/>
          <w:b/>
          <w:sz w:val="20"/>
          <w:szCs w:val="20"/>
        </w:rPr>
        <w:t>27</w:t>
      </w:r>
      <w:r w:rsidR="00330751" w:rsidRPr="009417CF">
        <w:rPr>
          <w:rFonts w:ascii="Arial" w:hAnsi="Arial" w:cs="Arial"/>
          <w:b/>
          <w:sz w:val="20"/>
          <w:szCs w:val="20"/>
        </w:rPr>
        <w:t xml:space="preserve"> d.</w:t>
      </w:r>
    </w:p>
    <w:p w:rsidR="00535FF4" w:rsidRPr="009417CF" w:rsidRDefault="00535FF4" w:rsidP="00535FF4">
      <w:pPr>
        <w:spacing w:before="55" w:after="0" w:line="270" w:lineRule="exact"/>
        <w:ind w:right="48"/>
        <w:rPr>
          <w:rFonts w:ascii="Arial" w:hAnsi="Arial"/>
          <w:b/>
          <w:sz w:val="24"/>
          <w:szCs w:val="24"/>
        </w:rPr>
      </w:pPr>
    </w:p>
    <w:p w:rsidR="009417CF" w:rsidRPr="009417CF" w:rsidRDefault="009417CF" w:rsidP="00535FF4">
      <w:pPr>
        <w:spacing w:before="55" w:after="0" w:line="270" w:lineRule="exact"/>
        <w:ind w:right="48"/>
        <w:rPr>
          <w:rFonts w:ascii="Arial" w:hAnsi="Arial"/>
          <w:b/>
          <w:sz w:val="24"/>
          <w:szCs w:val="24"/>
        </w:rPr>
      </w:pPr>
    </w:p>
    <w:p w:rsidR="00AF7151" w:rsidRDefault="00AF7151" w:rsidP="00AF7151">
      <w:pPr>
        <w:pBdr>
          <w:top w:val="nil"/>
          <w:left w:val="nil"/>
          <w:bottom w:val="nil"/>
          <w:right w:val="nil"/>
          <w:between w:val="nil"/>
          <w:bar w:val="nil"/>
        </w:pBdr>
        <w:rPr>
          <w:rFonts w:ascii="Arial" w:hAnsi="Arial"/>
          <w:b/>
        </w:rPr>
      </w:pPr>
      <w:r w:rsidRPr="00AF7151">
        <w:rPr>
          <w:rFonts w:ascii="Arial" w:hAnsi="Arial"/>
          <w:b/>
        </w:rPr>
        <w:t>„Coface“: Lenkijos ekonomiką į priekį stumia augantys atlyginimai ir krentančios kainos</w:t>
      </w:r>
    </w:p>
    <w:p w:rsidR="00AF7151" w:rsidRPr="00AF7151" w:rsidRDefault="00AF7151" w:rsidP="00AF7151">
      <w:pPr>
        <w:jc w:val="both"/>
        <w:rPr>
          <w:rFonts w:ascii="Arial" w:hAnsi="Arial" w:cs="Arial"/>
          <w:sz w:val="20"/>
          <w:szCs w:val="20"/>
        </w:rPr>
      </w:pPr>
      <w:r w:rsidRPr="00AF7151">
        <w:rPr>
          <w:rFonts w:ascii="Arial" w:hAnsi="Arial" w:cs="Arial"/>
          <w:sz w:val="20"/>
          <w:szCs w:val="20"/>
        </w:rPr>
        <w:t xml:space="preserve">Dabartinę pasaulio ekonomikos situaciją „Coface“ ekspertai apibūdina kaip rodančią laipsnišką išsivysčiusių šalių atsigavimą ir neramius laikus besivystančioms šalims. Išimtis – Rytų ir vidurio Europos šalys, kurios būdamos besivystančiomis, šiuo metu yra augimo fazėje. </w:t>
      </w:r>
    </w:p>
    <w:p w:rsidR="00AF7151" w:rsidRPr="00AF7151" w:rsidRDefault="00AF7151" w:rsidP="00AF7151">
      <w:pPr>
        <w:jc w:val="both"/>
        <w:rPr>
          <w:rFonts w:ascii="Arial" w:hAnsi="Arial" w:cs="Arial"/>
          <w:sz w:val="20"/>
          <w:szCs w:val="20"/>
        </w:rPr>
      </w:pPr>
      <w:r w:rsidRPr="00AF7151">
        <w:rPr>
          <w:rFonts w:ascii="Arial" w:hAnsi="Arial" w:cs="Arial"/>
          <w:sz w:val="20"/>
          <w:szCs w:val="20"/>
        </w:rPr>
        <w:t>Ypač tai pasakytina apie Lenkiją, kuri demonstruoja labai gerus ekonominius rodiklius. Šalies ekonomikos augimas nulemia įmonių nemokumo atvejų mažėjimą. Per šių metų pirmąjį pusmetį įmonių bankrotų skaičius Lenkijoje sumažėjo 3,3 proc. (šalies ekonomikai tuo pačiu laikotarpiu augo 3,4 proc.).</w:t>
      </w:r>
    </w:p>
    <w:p w:rsidR="00AF7151" w:rsidRPr="00AF7151" w:rsidRDefault="00AF7151" w:rsidP="00AF7151">
      <w:pPr>
        <w:jc w:val="both"/>
        <w:rPr>
          <w:rFonts w:ascii="Arial" w:hAnsi="Arial" w:cs="Arial"/>
          <w:sz w:val="20"/>
          <w:szCs w:val="20"/>
        </w:rPr>
      </w:pPr>
      <w:r w:rsidRPr="00AF7151">
        <w:rPr>
          <w:rFonts w:ascii="Arial" w:hAnsi="Arial" w:cs="Arial"/>
          <w:sz w:val="20"/>
          <w:szCs w:val="20"/>
        </w:rPr>
        <w:t xml:space="preserve">„Coface“ ekonomistai prognozuoja, jog Lenkijos ekonomikos augimas šiemet pasieks 3,5 proc., o kitąmet bus ne mažesnis kaip 3,4 proc. ir išliks vienu didžiausiu regione. </w:t>
      </w:r>
    </w:p>
    <w:p w:rsidR="00AF7151" w:rsidRPr="00AF7151" w:rsidRDefault="00AF7151" w:rsidP="00AF7151">
      <w:pPr>
        <w:jc w:val="both"/>
        <w:rPr>
          <w:rFonts w:ascii="Arial" w:hAnsi="Arial" w:cs="Arial"/>
          <w:sz w:val="20"/>
          <w:szCs w:val="20"/>
        </w:rPr>
      </w:pPr>
      <w:r w:rsidRPr="00AF7151">
        <w:rPr>
          <w:rFonts w:ascii="Arial" w:hAnsi="Arial" w:cs="Arial"/>
          <w:sz w:val="20"/>
          <w:szCs w:val="20"/>
        </w:rPr>
        <w:t>„Lenkijos ekonomikos augimas laikytinas itin tvariu, nes paremtas keletu priežasčių: vartotojų ir verslo lūkesčiai gerėja, auga vartojimas šalyje, kurį dar labiau skatina mažėjantis nedarbas ir augantys atlyginimai. Net esant Rusijos embargo faktoriui, Lenkijai pavyksta auginti savo ekporto apimtis“, - sako verslo rizikos valdymo bendrovės „Coface“ direktorius Lietuvoje Mantvydas Štareika.</w:t>
      </w:r>
    </w:p>
    <w:p w:rsidR="00AF7151" w:rsidRPr="00AF7151" w:rsidRDefault="00AF7151" w:rsidP="00AF7151">
      <w:pPr>
        <w:jc w:val="both"/>
        <w:rPr>
          <w:rFonts w:ascii="Arial" w:hAnsi="Arial" w:cs="Arial"/>
          <w:sz w:val="20"/>
          <w:szCs w:val="20"/>
        </w:rPr>
      </w:pPr>
      <w:r w:rsidRPr="00AF7151">
        <w:rPr>
          <w:rFonts w:ascii="Arial" w:hAnsi="Arial" w:cs="Arial"/>
          <w:sz w:val="20"/>
          <w:szCs w:val="20"/>
        </w:rPr>
        <w:t xml:space="preserve">Anot jo, nors įmonių nemokumo atvejų skaičius kaimyninėje Lenkijoje yra stabilus, visgi, nemokumo rizika išlieka, kadangi Lenkijos ūkį gali netiesiogiai paveikti ekonomikos sulėtėjimas Kinijoje. </w:t>
      </w:r>
    </w:p>
    <w:p w:rsidR="00AF7151" w:rsidRPr="00AF7151" w:rsidRDefault="00AF7151" w:rsidP="00AF7151">
      <w:pPr>
        <w:jc w:val="both"/>
        <w:rPr>
          <w:rFonts w:ascii="Arial" w:hAnsi="Arial" w:cs="Arial"/>
          <w:b/>
          <w:bCs/>
          <w:sz w:val="20"/>
          <w:szCs w:val="20"/>
        </w:rPr>
      </w:pPr>
      <w:r w:rsidRPr="00AF7151">
        <w:rPr>
          <w:rFonts w:ascii="Arial" w:hAnsi="Arial" w:cs="Arial"/>
          <w:b/>
          <w:bCs/>
          <w:sz w:val="20"/>
          <w:szCs w:val="20"/>
        </w:rPr>
        <w:t>Kai kurie Lenkijos verslo sektoriai išlieka rizikingi</w:t>
      </w:r>
    </w:p>
    <w:p w:rsidR="00AF7151" w:rsidRPr="00AF7151" w:rsidRDefault="00AF7151" w:rsidP="00AF7151">
      <w:pPr>
        <w:jc w:val="both"/>
        <w:rPr>
          <w:rFonts w:ascii="Arial" w:hAnsi="Arial" w:cs="Arial"/>
          <w:sz w:val="20"/>
          <w:szCs w:val="20"/>
        </w:rPr>
      </w:pPr>
      <w:r w:rsidRPr="00AF7151">
        <w:rPr>
          <w:rFonts w:ascii="Arial" w:hAnsi="Arial" w:cs="Arial"/>
          <w:sz w:val="20"/>
          <w:szCs w:val="20"/>
        </w:rPr>
        <w:t>Sektoriai, kurie tiesiogiai priklauso nuo vartojimo, pavyzdžiui, mažmeninė prekyba arba maisto ir gėrimų pramonė, Lenkijoje išgyvena gerus laikus, tačiau kai kuriuos sektorius veikia kiti neigiami veiksniai ir jų būklė nėra stabili.</w:t>
      </w:r>
    </w:p>
    <w:p w:rsidR="00AF7151" w:rsidRPr="00AF7151" w:rsidRDefault="00AF7151" w:rsidP="00AF7151">
      <w:pPr>
        <w:jc w:val="both"/>
        <w:rPr>
          <w:rFonts w:ascii="Arial" w:hAnsi="Arial" w:cs="Arial"/>
          <w:sz w:val="20"/>
          <w:szCs w:val="20"/>
        </w:rPr>
      </w:pPr>
      <w:r w:rsidRPr="00AF7151">
        <w:rPr>
          <w:rFonts w:ascii="Arial" w:hAnsi="Arial" w:cs="Arial"/>
          <w:b/>
          <w:bCs/>
          <w:sz w:val="20"/>
          <w:szCs w:val="20"/>
        </w:rPr>
        <w:t>Statybų sektorius.</w:t>
      </w:r>
      <w:r w:rsidRPr="00AF7151">
        <w:rPr>
          <w:rFonts w:ascii="Arial" w:hAnsi="Arial" w:cs="Arial"/>
          <w:sz w:val="20"/>
          <w:szCs w:val="20"/>
        </w:rPr>
        <w:t xml:space="preserve"> Dėka rekordiškai žemų palūkanų normų ir gerėjančių vartotojų lūkesčių, būsto verslas Lenkijoje įgauna pagreitį. Vis tik, nemažai įmonių vis dar nėra visiškai atsigavusios po sunkumų praeityje, todėl į didesnės finansinės rizikos teritoriją šiuo metu patenka statybinių medžiagų gamybos įmonės.</w:t>
      </w:r>
    </w:p>
    <w:p w:rsidR="00AF7151" w:rsidRPr="00AF7151" w:rsidRDefault="00AF7151" w:rsidP="00AF7151">
      <w:pPr>
        <w:jc w:val="both"/>
        <w:rPr>
          <w:rFonts w:ascii="Arial" w:hAnsi="Arial" w:cs="Arial"/>
          <w:sz w:val="20"/>
          <w:szCs w:val="20"/>
        </w:rPr>
      </w:pPr>
      <w:r w:rsidRPr="00AF7151">
        <w:rPr>
          <w:rFonts w:ascii="Arial" w:hAnsi="Arial" w:cs="Arial"/>
          <w:b/>
          <w:bCs/>
          <w:sz w:val="20"/>
          <w:szCs w:val="20"/>
        </w:rPr>
        <w:t xml:space="preserve">Plastmasės pramonė. </w:t>
      </w:r>
      <w:r w:rsidRPr="00AF7151">
        <w:rPr>
          <w:rFonts w:ascii="Arial" w:hAnsi="Arial" w:cs="Arial"/>
          <w:sz w:val="20"/>
          <w:szCs w:val="20"/>
        </w:rPr>
        <w:t xml:space="preserve">Šiais metais tarp Lenkijos plastmasės įmonių nemokumo atvejų skaičius išaugo du kartus. Šią neigiamą tendenciją, anot „Coface“ ekspertų, sukėlė polietileno ir polipropileno kainų augimas. </w:t>
      </w:r>
    </w:p>
    <w:p w:rsidR="00AF7151" w:rsidRPr="00AF7151" w:rsidRDefault="00AF7151" w:rsidP="00AF7151">
      <w:pPr>
        <w:jc w:val="both"/>
        <w:rPr>
          <w:rFonts w:ascii="Arial" w:hAnsi="Arial" w:cs="Arial"/>
          <w:sz w:val="20"/>
          <w:szCs w:val="20"/>
        </w:rPr>
      </w:pPr>
      <w:r w:rsidRPr="00AF7151">
        <w:rPr>
          <w:rFonts w:ascii="Arial" w:hAnsi="Arial" w:cs="Arial"/>
          <w:b/>
          <w:bCs/>
          <w:sz w:val="20"/>
          <w:szCs w:val="20"/>
        </w:rPr>
        <w:t>Transportas ir logistika.</w:t>
      </w:r>
      <w:r w:rsidRPr="00AF7151">
        <w:rPr>
          <w:rFonts w:ascii="Arial" w:hAnsi="Arial" w:cs="Arial"/>
          <w:sz w:val="20"/>
          <w:szCs w:val="20"/>
        </w:rPr>
        <w:t xml:space="preserve"> Šiame sektoriuje įmonių nemokumo atvejų skaičius šiemt išaugo net 28 proc. Lenkijos vežėjus neigiamai paveikė du faktoriai: dėl Rusijos embrago ir recesijos sumažėjo užsakymų pelningesnėmis Rytų kryptimis. Kitas neigiamas faktorius – Vokietijos reikalavimas mokėti vokišką atlyginimą vairuotojams, vykstantiems per šios šalies teritoriją. </w:t>
      </w:r>
    </w:p>
    <w:p w:rsidR="00AF7151" w:rsidRPr="00AF7151" w:rsidRDefault="00AF7151" w:rsidP="00AF7151">
      <w:pPr>
        <w:jc w:val="both"/>
        <w:rPr>
          <w:rFonts w:ascii="Arial" w:hAnsi="Arial" w:cs="Arial"/>
          <w:sz w:val="20"/>
          <w:szCs w:val="20"/>
        </w:rPr>
      </w:pPr>
      <w:r w:rsidRPr="00AF7151">
        <w:rPr>
          <w:rFonts w:ascii="Arial" w:hAnsi="Arial" w:cs="Arial"/>
          <w:sz w:val="20"/>
          <w:szCs w:val="20"/>
        </w:rPr>
        <w:t xml:space="preserve">Vartojimas šalies viduje yra svarbus faktorius Lenkijos ekonomikos augime, sudarantis apie 60 proc. šalies BVP. Nuo 2014 m. pradžios vartojimas Lenkijoje auga po 3 proc. kas ketvirtį. Vartojimo tendencijas teigiamai veikia gerėjančios galimybės įsidarbinti ir uždirbti. „Eurostat“ duomenimis, nedarbas Lenkijoje š.m. liepą sudarė 7,6 proc., lyginant su 9,5 proc. ES vidurkiu. Per pirmąjį šių metų pusmetį šalies įmonės savo darbuotojų skaičių padidino 1,1 proc., o atlyginimai per tą patį laikotarpį išaugo 3,7 proc. Pažymima, kad 3,6 proc. atlyginimai išaugo ir 2014 m.  </w:t>
      </w:r>
    </w:p>
    <w:p w:rsidR="00AF7151" w:rsidRPr="00AF7151" w:rsidRDefault="00AF7151" w:rsidP="00AF7151">
      <w:pPr>
        <w:jc w:val="both"/>
        <w:rPr>
          <w:rFonts w:ascii="Arial" w:hAnsi="Arial" w:cs="Arial"/>
          <w:sz w:val="20"/>
          <w:szCs w:val="20"/>
        </w:rPr>
      </w:pPr>
      <w:r w:rsidRPr="00AF7151">
        <w:rPr>
          <w:rFonts w:ascii="Arial" w:hAnsi="Arial" w:cs="Arial"/>
          <w:sz w:val="20"/>
          <w:szCs w:val="20"/>
        </w:rPr>
        <w:lastRenderedPageBreak/>
        <w:t xml:space="preserve">„Atlyginimai auga, o šalyje vyrauja defliacija, kurią lėmė nukritusios naftos kainos. Taigi, gerėjantys gyventojų lūkesčiai ir pingančios prekės sinergizuoja auginant vartojimą, o kartu ir visos šaliese ekonomiką“, - sako M. Štareika. </w:t>
      </w:r>
    </w:p>
    <w:p w:rsidR="00AF7151" w:rsidRPr="00AF7151" w:rsidRDefault="00AF7151" w:rsidP="00AF7151">
      <w:pPr>
        <w:jc w:val="both"/>
        <w:rPr>
          <w:rFonts w:ascii="Arial" w:hAnsi="Arial" w:cs="Arial"/>
          <w:sz w:val="20"/>
          <w:szCs w:val="20"/>
        </w:rPr>
      </w:pPr>
      <w:r w:rsidRPr="00AF7151">
        <w:rPr>
          <w:rFonts w:ascii="Arial" w:hAnsi="Arial" w:cs="Arial"/>
          <w:sz w:val="20"/>
          <w:szCs w:val="20"/>
        </w:rPr>
        <w:t xml:space="preserve">„Coface“ atlikta analizė rodo, kad ekonomikos augimas Lenkijoje turi pasiekti 3,1 proc., o vartojimo augimas 2,9 proc., kad bankrotų skaičius šioje rinkoje stabilizuotųsi. Abu rodikliai jau yra pasiekti, todėl prognozuojama, kad įmonių nemokumo atvejų skaičius šiais metais mažės 8 proc., o ateinančiais nukris dar 5 proc.  </w:t>
      </w:r>
    </w:p>
    <w:p w:rsidR="00AF7151" w:rsidRPr="00AF7151" w:rsidRDefault="00AF7151" w:rsidP="00AF7151">
      <w:pPr>
        <w:pStyle w:val="Body"/>
        <w:jc w:val="both"/>
        <w:rPr>
          <w:rFonts w:ascii="Arial" w:hAnsi="Arial" w:cs="Arial"/>
          <w:b/>
          <w:bCs/>
          <w:sz w:val="20"/>
          <w:szCs w:val="20"/>
        </w:rPr>
      </w:pPr>
      <w:r w:rsidRPr="00AF7151">
        <w:rPr>
          <w:rFonts w:ascii="Arial" w:hAnsi="Arial" w:cs="Arial"/>
          <w:b/>
          <w:bCs/>
          <w:sz w:val="20"/>
          <w:szCs w:val="20"/>
        </w:rPr>
        <w:t>Apie „Coface“</w:t>
      </w:r>
    </w:p>
    <w:p w:rsidR="00AF7151" w:rsidRPr="00AF7151" w:rsidRDefault="00AF7151" w:rsidP="00AF7151">
      <w:pPr>
        <w:pStyle w:val="Body"/>
        <w:jc w:val="both"/>
        <w:rPr>
          <w:rFonts w:ascii="Arial" w:hAnsi="Arial" w:cs="Arial"/>
          <w:sz w:val="20"/>
          <w:szCs w:val="20"/>
        </w:rPr>
      </w:pPr>
      <w:r w:rsidRPr="00AF7151">
        <w:rPr>
          <w:rFonts w:ascii="Arial" w:hAnsi="Arial" w:cs="Arial"/>
          <w:sz w:val="20"/>
          <w:szCs w:val="20"/>
        </w:rPr>
        <w:t xml:space="preserve">10 metų Lietuvoje veikianti verslo rizikos valdymo bendrovė „Coface“ yra to paties pavadinimo grupės dalis. „Coface“ grupė – tai tarptautinė lyderė, viso pasaulio įmonėms siūlanti savo sprendimus, padedančius apsisaugoti nuo klientų finansinių įsipareigojimų nevykdymo tiek šalies vidaus, tiek eksporto rinkose. „Coface“ 98 pasaulio valstybėse tiesiogiai arba netiesiogiai užtikrina 40 000 sandorių su įmonėmis, veikiančiomis daugiau nei 200 šalių. Grupės įmonėse dirba daugiau nei 4 400 žmonių. </w:t>
      </w:r>
    </w:p>
    <w:p w:rsidR="00E14554" w:rsidRPr="009417CF" w:rsidRDefault="00AF7151" w:rsidP="00AF7151">
      <w:pPr>
        <w:pStyle w:val="Body"/>
        <w:jc w:val="both"/>
        <w:rPr>
          <w:rFonts w:ascii="Arial" w:hAnsi="Arial" w:cs="Arial"/>
          <w:sz w:val="20"/>
          <w:szCs w:val="20"/>
        </w:rPr>
      </w:pPr>
      <w:r w:rsidRPr="00AF7151">
        <w:rPr>
          <w:rFonts w:ascii="Arial" w:hAnsi="Arial" w:cs="Arial"/>
          <w:sz w:val="20"/>
          <w:szCs w:val="20"/>
        </w:rPr>
        <w:t>Prancūzijoje „Coface“ valstybės vardu valdo valstybės garantijas dėl eksporto. „Coface SA“ akcijos kotiruojamos Paryžiaus vertybinių popierių biržoje. FITCH ir MOODY’S patvirtinti „Coface“ reitingai yra atitinkamai AA– (perspektyva stabili nuo 2010-ųjų lapkričio) ir A2 (reitingo perspektyva stabili nuo 2009-ųjų rugsėjo).</w:t>
      </w:r>
    </w:p>
    <w:sectPr w:rsidR="00E14554" w:rsidRPr="009417CF" w:rsidSect="00E14554">
      <w:pgSz w:w="11900" w:h="16840" w:code="9"/>
      <w:pgMar w:top="1276" w:right="1134" w:bottom="1134" w:left="1134" w:header="709" w:footer="851" w:gutter="0"/>
      <w:cols w:space="1296"/>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E0" w:rsidRDefault="00104BE0" w:rsidP="00FD01CD">
      <w:pPr>
        <w:spacing w:after="0" w:line="240" w:lineRule="auto"/>
      </w:pPr>
      <w:r>
        <w:separator/>
      </w:r>
    </w:p>
  </w:endnote>
  <w:endnote w:type="continuationSeparator" w:id="0">
    <w:p w:rsidR="00104BE0" w:rsidRDefault="00104BE0" w:rsidP="00FD0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E0" w:rsidRDefault="00104BE0" w:rsidP="00FD01CD">
      <w:pPr>
        <w:spacing w:after="0" w:line="240" w:lineRule="auto"/>
      </w:pPr>
      <w:r>
        <w:separator/>
      </w:r>
    </w:p>
  </w:footnote>
  <w:footnote w:type="continuationSeparator" w:id="0">
    <w:p w:rsidR="00104BE0" w:rsidRDefault="00104BE0" w:rsidP="00FD0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B46"/>
    <w:multiLevelType w:val="multilevel"/>
    <w:tmpl w:val="EC3A1FCC"/>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127427"/>
    <w:multiLevelType w:val="hybridMultilevel"/>
    <w:tmpl w:val="714A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7369AB"/>
    <w:multiLevelType w:val="multilevel"/>
    <w:tmpl w:val="45D0A5E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1FA77C44"/>
    <w:multiLevelType w:val="multilevel"/>
    <w:tmpl w:val="185A841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431A0ABA"/>
    <w:multiLevelType w:val="multilevel"/>
    <w:tmpl w:val="634CEFB2"/>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6E6265DB"/>
    <w:multiLevelType w:val="hybridMultilevel"/>
    <w:tmpl w:val="FF02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evenAndOddHeader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7F38A4"/>
    <w:rsid w:val="00007143"/>
    <w:rsid w:val="000162EB"/>
    <w:rsid w:val="0001771A"/>
    <w:rsid w:val="00025F15"/>
    <w:rsid w:val="00032A62"/>
    <w:rsid w:val="0003423D"/>
    <w:rsid w:val="000432B5"/>
    <w:rsid w:val="0005086D"/>
    <w:rsid w:val="00060C6C"/>
    <w:rsid w:val="00066F2D"/>
    <w:rsid w:val="000700CC"/>
    <w:rsid w:val="000731C5"/>
    <w:rsid w:val="0008634F"/>
    <w:rsid w:val="00090D97"/>
    <w:rsid w:val="000A3BD2"/>
    <w:rsid w:val="000A443A"/>
    <w:rsid w:val="000A59FA"/>
    <w:rsid w:val="000A6E05"/>
    <w:rsid w:val="000B1B32"/>
    <w:rsid w:val="000B38F8"/>
    <w:rsid w:val="000C213D"/>
    <w:rsid w:val="000C3519"/>
    <w:rsid w:val="000C6E80"/>
    <w:rsid w:val="000E255B"/>
    <w:rsid w:val="000F34D4"/>
    <w:rsid w:val="00104BE0"/>
    <w:rsid w:val="00107425"/>
    <w:rsid w:val="001074AD"/>
    <w:rsid w:val="00115A5F"/>
    <w:rsid w:val="00123A5B"/>
    <w:rsid w:val="00153A50"/>
    <w:rsid w:val="00160CDA"/>
    <w:rsid w:val="00161594"/>
    <w:rsid w:val="0016613C"/>
    <w:rsid w:val="00177673"/>
    <w:rsid w:val="00187289"/>
    <w:rsid w:val="00191EA1"/>
    <w:rsid w:val="001A1886"/>
    <w:rsid w:val="001A3208"/>
    <w:rsid w:val="001C0571"/>
    <w:rsid w:val="001C7C38"/>
    <w:rsid w:val="001D1121"/>
    <w:rsid w:val="001D5E34"/>
    <w:rsid w:val="001E19C7"/>
    <w:rsid w:val="001E5807"/>
    <w:rsid w:val="002262E7"/>
    <w:rsid w:val="00255EDF"/>
    <w:rsid w:val="00256619"/>
    <w:rsid w:val="00260681"/>
    <w:rsid w:val="00261B80"/>
    <w:rsid w:val="00263ED5"/>
    <w:rsid w:val="00282055"/>
    <w:rsid w:val="0029680E"/>
    <w:rsid w:val="002A48EA"/>
    <w:rsid w:val="002D1A25"/>
    <w:rsid w:val="002D3441"/>
    <w:rsid w:val="002E19DC"/>
    <w:rsid w:val="002F33F2"/>
    <w:rsid w:val="002F583F"/>
    <w:rsid w:val="00306D6B"/>
    <w:rsid w:val="0031128E"/>
    <w:rsid w:val="00312686"/>
    <w:rsid w:val="0031269A"/>
    <w:rsid w:val="003210A2"/>
    <w:rsid w:val="00321C9C"/>
    <w:rsid w:val="00330751"/>
    <w:rsid w:val="003349AB"/>
    <w:rsid w:val="00360C4B"/>
    <w:rsid w:val="0036541B"/>
    <w:rsid w:val="0037429C"/>
    <w:rsid w:val="0037619F"/>
    <w:rsid w:val="00382E57"/>
    <w:rsid w:val="00383E4F"/>
    <w:rsid w:val="0039235E"/>
    <w:rsid w:val="00394F3A"/>
    <w:rsid w:val="003B0AF1"/>
    <w:rsid w:val="003C7BA6"/>
    <w:rsid w:val="003D1BD2"/>
    <w:rsid w:val="003F2129"/>
    <w:rsid w:val="003F5596"/>
    <w:rsid w:val="00403AFE"/>
    <w:rsid w:val="004120FE"/>
    <w:rsid w:val="00413E75"/>
    <w:rsid w:val="004169B2"/>
    <w:rsid w:val="0042494E"/>
    <w:rsid w:val="00430381"/>
    <w:rsid w:val="00431027"/>
    <w:rsid w:val="00433E61"/>
    <w:rsid w:val="00440219"/>
    <w:rsid w:val="004437D3"/>
    <w:rsid w:val="0045326D"/>
    <w:rsid w:val="004631E4"/>
    <w:rsid w:val="00472DED"/>
    <w:rsid w:val="0049629A"/>
    <w:rsid w:val="00496981"/>
    <w:rsid w:val="004A0AA0"/>
    <w:rsid w:val="004C5410"/>
    <w:rsid w:val="004C7A37"/>
    <w:rsid w:val="004F4259"/>
    <w:rsid w:val="004F6993"/>
    <w:rsid w:val="00524801"/>
    <w:rsid w:val="00535FF4"/>
    <w:rsid w:val="00540AD3"/>
    <w:rsid w:val="00561D5B"/>
    <w:rsid w:val="005729D5"/>
    <w:rsid w:val="00577FDF"/>
    <w:rsid w:val="005869B7"/>
    <w:rsid w:val="005A0288"/>
    <w:rsid w:val="005A1376"/>
    <w:rsid w:val="005B4137"/>
    <w:rsid w:val="005C1293"/>
    <w:rsid w:val="005C39EC"/>
    <w:rsid w:val="005C5FF8"/>
    <w:rsid w:val="005D141C"/>
    <w:rsid w:val="005D61A5"/>
    <w:rsid w:val="005E1285"/>
    <w:rsid w:val="005E2ACA"/>
    <w:rsid w:val="005F0543"/>
    <w:rsid w:val="005F156F"/>
    <w:rsid w:val="006052EB"/>
    <w:rsid w:val="00613992"/>
    <w:rsid w:val="00630338"/>
    <w:rsid w:val="0063360F"/>
    <w:rsid w:val="006341F0"/>
    <w:rsid w:val="0063764B"/>
    <w:rsid w:val="00642F31"/>
    <w:rsid w:val="00662AC6"/>
    <w:rsid w:val="0066639A"/>
    <w:rsid w:val="006718CA"/>
    <w:rsid w:val="00692A42"/>
    <w:rsid w:val="00693C27"/>
    <w:rsid w:val="00693D40"/>
    <w:rsid w:val="00695868"/>
    <w:rsid w:val="006B6B4A"/>
    <w:rsid w:val="006C3528"/>
    <w:rsid w:val="006D3F98"/>
    <w:rsid w:val="006E49FE"/>
    <w:rsid w:val="006F1815"/>
    <w:rsid w:val="006F359B"/>
    <w:rsid w:val="006F6E51"/>
    <w:rsid w:val="00710B02"/>
    <w:rsid w:val="007175EA"/>
    <w:rsid w:val="00720D27"/>
    <w:rsid w:val="00722368"/>
    <w:rsid w:val="007233BD"/>
    <w:rsid w:val="00733FE9"/>
    <w:rsid w:val="00737E6F"/>
    <w:rsid w:val="007520DA"/>
    <w:rsid w:val="00761A0C"/>
    <w:rsid w:val="0076547F"/>
    <w:rsid w:val="007658A7"/>
    <w:rsid w:val="007707AE"/>
    <w:rsid w:val="00774E27"/>
    <w:rsid w:val="00780B80"/>
    <w:rsid w:val="007900BF"/>
    <w:rsid w:val="00790EBE"/>
    <w:rsid w:val="007917A3"/>
    <w:rsid w:val="007A2801"/>
    <w:rsid w:val="007B3407"/>
    <w:rsid w:val="007B4952"/>
    <w:rsid w:val="007C537C"/>
    <w:rsid w:val="007C7FB9"/>
    <w:rsid w:val="007E75E2"/>
    <w:rsid w:val="007F2BDA"/>
    <w:rsid w:val="007F38A4"/>
    <w:rsid w:val="00813A46"/>
    <w:rsid w:val="0081462B"/>
    <w:rsid w:val="008262ED"/>
    <w:rsid w:val="00841A53"/>
    <w:rsid w:val="00862B8E"/>
    <w:rsid w:val="008753C9"/>
    <w:rsid w:val="00885C34"/>
    <w:rsid w:val="00887EEC"/>
    <w:rsid w:val="008938BE"/>
    <w:rsid w:val="008B628C"/>
    <w:rsid w:val="008D7274"/>
    <w:rsid w:val="008D7A7E"/>
    <w:rsid w:val="008E1B32"/>
    <w:rsid w:val="008E4DAB"/>
    <w:rsid w:val="008F7B24"/>
    <w:rsid w:val="00910303"/>
    <w:rsid w:val="00915B5B"/>
    <w:rsid w:val="0091780E"/>
    <w:rsid w:val="0093060B"/>
    <w:rsid w:val="00930D18"/>
    <w:rsid w:val="009417CF"/>
    <w:rsid w:val="00947773"/>
    <w:rsid w:val="00966E5A"/>
    <w:rsid w:val="0099418A"/>
    <w:rsid w:val="00996189"/>
    <w:rsid w:val="009A4DB0"/>
    <w:rsid w:val="009B2449"/>
    <w:rsid w:val="009C51CA"/>
    <w:rsid w:val="009C7B4F"/>
    <w:rsid w:val="009D596C"/>
    <w:rsid w:val="009E7CFF"/>
    <w:rsid w:val="009F07D5"/>
    <w:rsid w:val="009F146B"/>
    <w:rsid w:val="009F1FF9"/>
    <w:rsid w:val="009F354C"/>
    <w:rsid w:val="00A01D7B"/>
    <w:rsid w:val="00A0269B"/>
    <w:rsid w:val="00A155B6"/>
    <w:rsid w:val="00A23492"/>
    <w:rsid w:val="00A26D3E"/>
    <w:rsid w:val="00A31387"/>
    <w:rsid w:val="00A44386"/>
    <w:rsid w:val="00A4559D"/>
    <w:rsid w:val="00A45B7B"/>
    <w:rsid w:val="00A51CC6"/>
    <w:rsid w:val="00A53D97"/>
    <w:rsid w:val="00A61763"/>
    <w:rsid w:val="00A621EA"/>
    <w:rsid w:val="00A631A7"/>
    <w:rsid w:val="00A7138A"/>
    <w:rsid w:val="00AA0170"/>
    <w:rsid w:val="00AA1833"/>
    <w:rsid w:val="00AA3866"/>
    <w:rsid w:val="00AB0689"/>
    <w:rsid w:val="00AB58E8"/>
    <w:rsid w:val="00AC01FD"/>
    <w:rsid w:val="00AC441C"/>
    <w:rsid w:val="00AC6C2A"/>
    <w:rsid w:val="00AD4662"/>
    <w:rsid w:val="00AE6A65"/>
    <w:rsid w:val="00AE6BEF"/>
    <w:rsid w:val="00AE7FA4"/>
    <w:rsid w:val="00AF7151"/>
    <w:rsid w:val="00B0056D"/>
    <w:rsid w:val="00B1681E"/>
    <w:rsid w:val="00B25743"/>
    <w:rsid w:val="00B30BE8"/>
    <w:rsid w:val="00B437C2"/>
    <w:rsid w:val="00B4558F"/>
    <w:rsid w:val="00B45756"/>
    <w:rsid w:val="00B46CBA"/>
    <w:rsid w:val="00B6137D"/>
    <w:rsid w:val="00B62E98"/>
    <w:rsid w:val="00B63B09"/>
    <w:rsid w:val="00B656ED"/>
    <w:rsid w:val="00B7246C"/>
    <w:rsid w:val="00B81422"/>
    <w:rsid w:val="00B9431E"/>
    <w:rsid w:val="00B975CF"/>
    <w:rsid w:val="00B97DD2"/>
    <w:rsid w:val="00BA39D7"/>
    <w:rsid w:val="00BA425A"/>
    <w:rsid w:val="00BB2731"/>
    <w:rsid w:val="00BC2F0C"/>
    <w:rsid w:val="00BE405D"/>
    <w:rsid w:val="00BF3674"/>
    <w:rsid w:val="00C01D97"/>
    <w:rsid w:val="00C01E00"/>
    <w:rsid w:val="00C12B09"/>
    <w:rsid w:val="00C50AEE"/>
    <w:rsid w:val="00C55CE2"/>
    <w:rsid w:val="00C615DB"/>
    <w:rsid w:val="00C75AAD"/>
    <w:rsid w:val="00C856C7"/>
    <w:rsid w:val="00C8659B"/>
    <w:rsid w:val="00C93B81"/>
    <w:rsid w:val="00C94269"/>
    <w:rsid w:val="00C96C81"/>
    <w:rsid w:val="00CA1815"/>
    <w:rsid w:val="00CB0D84"/>
    <w:rsid w:val="00CB360F"/>
    <w:rsid w:val="00CC1FB6"/>
    <w:rsid w:val="00CC50E1"/>
    <w:rsid w:val="00CD0568"/>
    <w:rsid w:val="00CD497B"/>
    <w:rsid w:val="00CF7374"/>
    <w:rsid w:val="00CF7B26"/>
    <w:rsid w:val="00D032CD"/>
    <w:rsid w:val="00D06903"/>
    <w:rsid w:val="00D1301A"/>
    <w:rsid w:val="00D1496A"/>
    <w:rsid w:val="00D25CFF"/>
    <w:rsid w:val="00D52C41"/>
    <w:rsid w:val="00D53C0B"/>
    <w:rsid w:val="00D57E8D"/>
    <w:rsid w:val="00D64609"/>
    <w:rsid w:val="00D733D8"/>
    <w:rsid w:val="00D75C44"/>
    <w:rsid w:val="00DC4527"/>
    <w:rsid w:val="00DD68F5"/>
    <w:rsid w:val="00DD7A8C"/>
    <w:rsid w:val="00DE3D62"/>
    <w:rsid w:val="00E0562D"/>
    <w:rsid w:val="00E05A13"/>
    <w:rsid w:val="00E07308"/>
    <w:rsid w:val="00E14554"/>
    <w:rsid w:val="00E14C7B"/>
    <w:rsid w:val="00E15929"/>
    <w:rsid w:val="00E26BBB"/>
    <w:rsid w:val="00E357C3"/>
    <w:rsid w:val="00E54AF5"/>
    <w:rsid w:val="00E60F05"/>
    <w:rsid w:val="00E63E5C"/>
    <w:rsid w:val="00E95304"/>
    <w:rsid w:val="00EA177C"/>
    <w:rsid w:val="00EA729B"/>
    <w:rsid w:val="00EA7862"/>
    <w:rsid w:val="00EB2630"/>
    <w:rsid w:val="00EB289A"/>
    <w:rsid w:val="00EB7FFB"/>
    <w:rsid w:val="00EC3FE4"/>
    <w:rsid w:val="00ED65E4"/>
    <w:rsid w:val="00EE243F"/>
    <w:rsid w:val="00EF67AE"/>
    <w:rsid w:val="00F00C70"/>
    <w:rsid w:val="00F0140B"/>
    <w:rsid w:val="00F04A13"/>
    <w:rsid w:val="00F11886"/>
    <w:rsid w:val="00F352FD"/>
    <w:rsid w:val="00F636DC"/>
    <w:rsid w:val="00F76DBA"/>
    <w:rsid w:val="00F87728"/>
    <w:rsid w:val="00F9215E"/>
    <w:rsid w:val="00F97D2A"/>
    <w:rsid w:val="00FB6853"/>
    <w:rsid w:val="00FD01CD"/>
    <w:rsid w:val="00FD4A32"/>
    <w:rsid w:val="00FE1E4B"/>
    <w:rsid w:val="00FE251D"/>
    <w:rsid w:val="00FE4A28"/>
    <w:rsid w:val="00FE5EFC"/>
  </w:rsids>
  <m:mathPr>
    <m:mathFont m:val="Cambria Math"/>
    <m:brkBin m:val="before"/>
    <m:brkBinSub m:val="--"/>
    <m:smallFrac/>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A4"/>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F156F"/>
    <w:rPr>
      <w:sz w:val="16"/>
      <w:szCs w:val="16"/>
    </w:rPr>
  </w:style>
  <w:style w:type="paragraph" w:styleId="CommentText">
    <w:name w:val="annotation text"/>
    <w:basedOn w:val="Normal"/>
    <w:link w:val="CommentTextChar"/>
    <w:uiPriority w:val="99"/>
    <w:semiHidden/>
    <w:unhideWhenUsed/>
    <w:rsid w:val="005F156F"/>
    <w:rPr>
      <w:sz w:val="20"/>
      <w:szCs w:val="20"/>
    </w:rPr>
  </w:style>
  <w:style w:type="character" w:customStyle="1" w:styleId="CommentTextChar">
    <w:name w:val="Comment Text Char"/>
    <w:link w:val="CommentText"/>
    <w:uiPriority w:val="99"/>
    <w:semiHidden/>
    <w:rsid w:val="005F156F"/>
    <w:rPr>
      <w:lang w:eastAsia="en-US"/>
    </w:rPr>
  </w:style>
  <w:style w:type="paragraph" w:styleId="CommentSubject">
    <w:name w:val="annotation subject"/>
    <w:basedOn w:val="CommentText"/>
    <w:next w:val="CommentText"/>
    <w:link w:val="CommentSubjectChar"/>
    <w:uiPriority w:val="99"/>
    <w:semiHidden/>
    <w:unhideWhenUsed/>
    <w:rsid w:val="005F156F"/>
    <w:rPr>
      <w:b/>
      <w:bCs/>
    </w:rPr>
  </w:style>
  <w:style w:type="character" w:customStyle="1" w:styleId="CommentSubjectChar">
    <w:name w:val="Comment Subject Char"/>
    <w:link w:val="CommentSubject"/>
    <w:uiPriority w:val="99"/>
    <w:semiHidden/>
    <w:rsid w:val="005F156F"/>
    <w:rPr>
      <w:b/>
      <w:bCs/>
      <w:lang w:eastAsia="en-US"/>
    </w:rPr>
  </w:style>
  <w:style w:type="paragraph" w:styleId="BalloonText">
    <w:name w:val="Balloon Text"/>
    <w:basedOn w:val="Normal"/>
    <w:link w:val="BalloonTextChar"/>
    <w:uiPriority w:val="99"/>
    <w:semiHidden/>
    <w:unhideWhenUsed/>
    <w:rsid w:val="005F1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F156F"/>
    <w:rPr>
      <w:rFonts w:ascii="Tahoma" w:hAnsi="Tahoma" w:cs="Tahoma"/>
      <w:sz w:val="16"/>
      <w:szCs w:val="16"/>
      <w:lang w:eastAsia="en-US"/>
    </w:rPr>
  </w:style>
  <w:style w:type="character" w:styleId="Hyperlink">
    <w:name w:val="Hyperlink"/>
    <w:uiPriority w:val="99"/>
    <w:semiHidden/>
    <w:unhideWhenUsed/>
    <w:rsid w:val="00431027"/>
    <w:rPr>
      <w:color w:val="0000FF"/>
      <w:u w:val="single"/>
    </w:rPr>
  </w:style>
  <w:style w:type="paragraph" w:styleId="PlainText">
    <w:name w:val="Plain Text"/>
    <w:basedOn w:val="Normal"/>
    <w:link w:val="PlainTextChar"/>
    <w:uiPriority w:val="99"/>
    <w:unhideWhenUsed/>
    <w:rsid w:val="00160CDA"/>
    <w:pPr>
      <w:spacing w:after="0" w:line="240" w:lineRule="auto"/>
    </w:pPr>
    <w:rPr>
      <w:rFonts w:ascii="Consolas" w:hAnsi="Consolas"/>
      <w:sz w:val="21"/>
      <w:szCs w:val="21"/>
    </w:rPr>
  </w:style>
  <w:style w:type="character" w:customStyle="1" w:styleId="PlainTextChar">
    <w:name w:val="Plain Text Char"/>
    <w:link w:val="PlainText"/>
    <w:uiPriority w:val="99"/>
    <w:rsid w:val="00160CDA"/>
    <w:rPr>
      <w:rFonts w:ascii="Consolas" w:hAnsi="Consolas"/>
      <w:sz w:val="21"/>
      <w:szCs w:val="21"/>
      <w:lang w:eastAsia="en-US"/>
    </w:rPr>
  </w:style>
  <w:style w:type="character" w:styleId="Emphasis">
    <w:name w:val="Emphasis"/>
    <w:uiPriority w:val="20"/>
    <w:qFormat/>
    <w:rsid w:val="008D7274"/>
    <w:rPr>
      <w:i/>
      <w:iCs/>
    </w:rPr>
  </w:style>
  <w:style w:type="paragraph" w:styleId="BodyText">
    <w:name w:val="Body Text"/>
    <w:basedOn w:val="Normal"/>
    <w:link w:val="BodyTextChar"/>
    <w:semiHidden/>
    <w:rsid w:val="005A0288"/>
    <w:pPr>
      <w:suppressAutoHyphens/>
      <w:spacing w:after="0" w:line="270" w:lineRule="exact"/>
      <w:jc w:val="both"/>
    </w:pPr>
    <w:rPr>
      <w:rFonts w:ascii="Arial" w:eastAsia="MS Mincho" w:hAnsi="Arial"/>
      <w:b/>
      <w:bCs/>
      <w:color w:val="000000"/>
      <w:sz w:val="26"/>
      <w:szCs w:val="26"/>
      <w:lang w:val="en-GB" w:eastAsia="fr-FR"/>
    </w:rPr>
  </w:style>
  <w:style w:type="character" w:customStyle="1" w:styleId="BodyTextChar">
    <w:name w:val="Body Text Char"/>
    <w:link w:val="BodyText"/>
    <w:semiHidden/>
    <w:rsid w:val="005A0288"/>
    <w:rPr>
      <w:rFonts w:ascii="Arial" w:eastAsia="MS Mincho" w:hAnsi="Arial" w:cs="Arial"/>
      <w:b/>
      <w:bCs/>
      <w:color w:val="000000"/>
      <w:sz w:val="26"/>
      <w:szCs w:val="26"/>
      <w:lang w:val="en-GB" w:eastAsia="fr-FR"/>
    </w:rPr>
  </w:style>
  <w:style w:type="paragraph" w:customStyle="1" w:styleId="Body1">
    <w:name w:val="Body 1"/>
    <w:uiPriority w:val="99"/>
    <w:rsid w:val="00FD01CD"/>
    <w:pPr>
      <w:outlineLvl w:val="0"/>
    </w:pPr>
    <w:rPr>
      <w:rFonts w:ascii="Helvetica" w:eastAsia="Arial Unicode MS" w:hAnsi="Helvetica"/>
      <w:color w:val="000000"/>
      <w:sz w:val="24"/>
      <w:u w:color="000000"/>
      <w:lang w:val="en-GB" w:eastAsia="en-GB" w:bidi="en-GB"/>
    </w:rPr>
  </w:style>
  <w:style w:type="paragraph" w:customStyle="1" w:styleId="Default">
    <w:name w:val="Default"/>
    <w:uiPriority w:val="99"/>
    <w:rsid w:val="00FD01CD"/>
    <w:pPr>
      <w:widowControl w:val="0"/>
      <w:suppressAutoHyphens/>
      <w:autoSpaceDE w:val="0"/>
    </w:pPr>
    <w:rPr>
      <w:rFonts w:ascii="Arial" w:eastAsia="MS Mincho" w:hAnsi="Arial" w:cs="Arial"/>
      <w:color w:val="000000"/>
      <w:sz w:val="24"/>
      <w:szCs w:val="24"/>
      <w:lang w:val="en-GB" w:eastAsia="en-GB" w:bidi="en-GB"/>
    </w:rPr>
  </w:style>
  <w:style w:type="paragraph" w:styleId="ListParagraph">
    <w:name w:val="List Paragraph"/>
    <w:basedOn w:val="Normal"/>
    <w:qFormat/>
    <w:rsid w:val="00FD01CD"/>
    <w:pPr>
      <w:spacing w:after="0" w:line="240" w:lineRule="auto"/>
      <w:ind w:left="720"/>
      <w:contextualSpacing/>
    </w:pPr>
    <w:rPr>
      <w:rFonts w:ascii="Cambria" w:eastAsia="MS Mincho" w:hAnsi="Cambria"/>
      <w:sz w:val="24"/>
      <w:szCs w:val="24"/>
      <w:lang w:val="en-GB" w:eastAsia="en-GB" w:bidi="en-GB"/>
    </w:rPr>
  </w:style>
  <w:style w:type="paragraph" w:styleId="Header">
    <w:name w:val="header"/>
    <w:basedOn w:val="Normal"/>
    <w:link w:val="HeaderChar"/>
    <w:uiPriority w:val="99"/>
    <w:semiHidden/>
    <w:unhideWhenUsed/>
    <w:rsid w:val="00FD01CD"/>
    <w:pPr>
      <w:tabs>
        <w:tab w:val="center" w:pos="4819"/>
        <w:tab w:val="right" w:pos="9638"/>
      </w:tabs>
    </w:pPr>
  </w:style>
  <w:style w:type="character" w:customStyle="1" w:styleId="HeaderChar">
    <w:name w:val="Header Char"/>
    <w:link w:val="Header"/>
    <w:uiPriority w:val="99"/>
    <w:semiHidden/>
    <w:rsid w:val="00FD01CD"/>
    <w:rPr>
      <w:sz w:val="22"/>
      <w:szCs w:val="22"/>
      <w:lang w:eastAsia="en-US"/>
    </w:rPr>
  </w:style>
  <w:style w:type="paragraph" w:styleId="Footer">
    <w:name w:val="footer"/>
    <w:basedOn w:val="Normal"/>
    <w:link w:val="FooterChar"/>
    <w:uiPriority w:val="99"/>
    <w:semiHidden/>
    <w:unhideWhenUsed/>
    <w:rsid w:val="00FD01CD"/>
    <w:pPr>
      <w:tabs>
        <w:tab w:val="center" w:pos="4819"/>
        <w:tab w:val="right" w:pos="9638"/>
      </w:tabs>
    </w:pPr>
  </w:style>
  <w:style w:type="character" w:customStyle="1" w:styleId="FooterChar">
    <w:name w:val="Footer Char"/>
    <w:link w:val="Footer"/>
    <w:uiPriority w:val="99"/>
    <w:semiHidden/>
    <w:rsid w:val="00FD01CD"/>
    <w:rPr>
      <w:sz w:val="22"/>
      <w:szCs w:val="22"/>
      <w:lang w:eastAsia="en-US"/>
    </w:rPr>
  </w:style>
  <w:style w:type="paragraph" w:styleId="NormalWeb">
    <w:name w:val="Normal (Web)"/>
    <w:basedOn w:val="Normal"/>
    <w:uiPriority w:val="99"/>
    <w:unhideWhenUsed/>
    <w:rsid w:val="00A31387"/>
    <w:pPr>
      <w:spacing w:before="100" w:beforeAutospacing="1" w:after="100" w:afterAutospacing="1" w:line="240" w:lineRule="auto"/>
    </w:pPr>
    <w:rPr>
      <w:rFonts w:ascii="Times New Roman" w:hAnsi="Times New Roman"/>
      <w:sz w:val="24"/>
      <w:szCs w:val="24"/>
      <w:lang w:eastAsia="lt-LT"/>
    </w:rPr>
  </w:style>
  <w:style w:type="paragraph" w:customStyle="1" w:styleId="Body">
    <w:name w:val="Body"/>
    <w:rsid w:val="009417CF"/>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9417CF"/>
    <w:pPr>
      <w:numPr>
        <w:numId w:val="6"/>
      </w:numPr>
    </w:pPr>
  </w:style>
</w:styles>
</file>

<file path=word/webSettings.xml><?xml version="1.0" encoding="utf-8"?>
<w:webSettings xmlns:r="http://schemas.openxmlformats.org/officeDocument/2006/relationships" xmlns:w="http://schemas.openxmlformats.org/wordprocessingml/2006/main">
  <w:divs>
    <w:div w:id="514611979">
      <w:bodyDiv w:val="1"/>
      <w:marLeft w:val="0"/>
      <w:marRight w:val="0"/>
      <w:marTop w:val="0"/>
      <w:marBottom w:val="0"/>
      <w:divBdr>
        <w:top w:val="none" w:sz="0" w:space="0" w:color="auto"/>
        <w:left w:val="none" w:sz="0" w:space="0" w:color="auto"/>
        <w:bottom w:val="none" w:sz="0" w:space="0" w:color="auto"/>
        <w:right w:val="none" w:sz="0" w:space="0" w:color="auto"/>
      </w:divBdr>
    </w:div>
    <w:div w:id="959608730">
      <w:bodyDiv w:val="1"/>
      <w:marLeft w:val="0"/>
      <w:marRight w:val="0"/>
      <w:marTop w:val="0"/>
      <w:marBottom w:val="0"/>
      <w:divBdr>
        <w:top w:val="none" w:sz="0" w:space="0" w:color="auto"/>
        <w:left w:val="none" w:sz="0" w:space="0" w:color="auto"/>
        <w:bottom w:val="none" w:sz="0" w:space="0" w:color="auto"/>
        <w:right w:val="none" w:sz="0" w:space="0" w:color="auto"/>
      </w:divBdr>
    </w:div>
    <w:div w:id="14511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6D1E-EF06-481D-A20B-1F79F95E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2924</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dc:creator>
  <cp:lastModifiedBy>dalius</cp:lastModifiedBy>
  <cp:revision>2</cp:revision>
  <cp:lastPrinted>2014-08-28T15:58:00Z</cp:lastPrinted>
  <dcterms:created xsi:type="dcterms:W3CDTF">2015-10-27T06:11:00Z</dcterms:created>
  <dcterms:modified xsi:type="dcterms:W3CDTF">2015-10-27T06:11:00Z</dcterms:modified>
</cp:coreProperties>
</file>