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4C1B" w14:textId="77777777" w:rsidR="00967BE9" w:rsidRPr="006D2153" w:rsidRDefault="00967BE9" w:rsidP="007C313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07FCE8E" w14:textId="6132FBBB" w:rsidR="00DB638C" w:rsidRPr="001D10BE" w:rsidRDefault="0065712B" w:rsidP="00935B47">
      <w:pPr>
        <w:pStyle w:val="Default"/>
        <w:widowControl/>
        <w:tabs>
          <w:tab w:val="right" w:pos="10080"/>
        </w:tabs>
        <w:suppressAutoHyphens/>
        <w:spacing w:line="270" w:lineRule="exact"/>
        <w:rPr>
          <w:rFonts w:asciiTheme="minorHAnsi" w:hAnsiTheme="minorHAnsi" w:cstheme="minorHAnsi"/>
          <w:color w:val="FF0000"/>
          <w:sz w:val="22"/>
          <w:szCs w:val="22"/>
          <w:lang w:val="lt-LT"/>
        </w:rPr>
      </w:pPr>
      <w:r w:rsidRPr="001D10BE">
        <w:rPr>
          <w:rFonts w:asciiTheme="minorHAnsi" w:eastAsia="MS Mincho" w:hAnsiTheme="minorHAnsi" w:cstheme="minorHAnsi"/>
          <w:b/>
          <w:sz w:val="22"/>
          <w:szCs w:val="22"/>
          <w:lang w:val="lt-LT" w:eastAsia="ar-SA"/>
        </w:rPr>
        <w:t xml:space="preserve">Pranešimas </w:t>
      </w:r>
      <w:r w:rsidR="00935B47" w:rsidRPr="001D10BE">
        <w:rPr>
          <w:rFonts w:asciiTheme="minorHAnsi" w:eastAsia="MS Mincho" w:hAnsiTheme="minorHAnsi" w:cstheme="minorHAnsi"/>
          <w:b/>
          <w:sz w:val="22"/>
          <w:szCs w:val="22"/>
          <w:lang w:val="lt-LT" w:eastAsia="ar-SA"/>
        </w:rPr>
        <w:t>žiniasklaidai</w:t>
      </w:r>
      <w:r w:rsidR="00374832" w:rsidRPr="001D10BE">
        <w:rPr>
          <w:rFonts w:asciiTheme="minorHAnsi" w:eastAsia="MS Mincho" w:hAnsiTheme="minorHAnsi" w:cstheme="minorHAnsi"/>
          <w:b/>
          <w:sz w:val="22"/>
          <w:szCs w:val="22"/>
          <w:lang w:val="lt-LT" w:eastAsia="ar-SA"/>
        </w:rPr>
        <w:t xml:space="preserve">                                                                           </w:t>
      </w:r>
      <w:r w:rsidR="00935B47" w:rsidRPr="001D10BE">
        <w:rPr>
          <w:rFonts w:asciiTheme="minorHAnsi" w:eastAsia="MS Mincho" w:hAnsiTheme="minorHAnsi" w:cstheme="minorHAnsi"/>
          <w:bCs/>
          <w:sz w:val="22"/>
          <w:szCs w:val="22"/>
          <w:lang w:val="lt-LT" w:eastAsia="ar-SA"/>
        </w:rPr>
        <w:t xml:space="preserve"> </w:t>
      </w:r>
      <w:r w:rsidR="007B1213" w:rsidRPr="001D10BE">
        <w:rPr>
          <w:rFonts w:asciiTheme="minorHAnsi" w:eastAsia="MS Mincho" w:hAnsiTheme="minorHAnsi" w:cstheme="minorHAnsi"/>
          <w:bCs/>
          <w:sz w:val="22"/>
          <w:szCs w:val="22"/>
          <w:lang w:val="lt-LT" w:eastAsia="ar-SA"/>
        </w:rPr>
        <w:tab/>
      </w:r>
      <w:r w:rsidR="00DB638C" w:rsidRPr="001D10BE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>20</w:t>
      </w:r>
      <w:r w:rsidR="00E90B33" w:rsidRPr="001D10BE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>2</w:t>
      </w:r>
      <w:r w:rsidR="00AF3021" w:rsidRPr="001D10BE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>1</w:t>
      </w:r>
      <w:r w:rsidR="007E3BAC" w:rsidRPr="001D10BE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 xml:space="preserve"> m. </w:t>
      </w:r>
      <w:r w:rsidR="007E3BAC" w:rsidRPr="006D2153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 xml:space="preserve">gegužės </w:t>
      </w:r>
      <w:r w:rsidR="00644856" w:rsidRPr="006D2153">
        <w:rPr>
          <w:rFonts w:asciiTheme="minorHAnsi" w:eastAsia="MS Mincho" w:hAnsiTheme="minorHAnsi" w:cstheme="minorHAnsi"/>
          <w:bCs/>
          <w:color w:val="auto"/>
          <w:sz w:val="22"/>
          <w:szCs w:val="22"/>
          <w:lang w:val="en-US" w:eastAsia="ar-SA"/>
        </w:rPr>
        <w:t>17</w:t>
      </w:r>
      <w:r w:rsidR="007E3BAC" w:rsidRPr="006D2153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 xml:space="preserve"> </w:t>
      </w:r>
      <w:r w:rsidR="00DB638C" w:rsidRPr="006D2153">
        <w:rPr>
          <w:rFonts w:asciiTheme="minorHAnsi" w:eastAsia="MS Mincho" w:hAnsiTheme="minorHAnsi" w:cstheme="minorHAnsi"/>
          <w:bCs/>
          <w:color w:val="auto"/>
          <w:sz w:val="22"/>
          <w:szCs w:val="22"/>
          <w:lang w:val="lt-LT" w:eastAsia="ar-SA"/>
        </w:rPr>
        <w:t>d</w:t>
      </w:r>
      <w:r w:rsidR="00DB638C" w:rsidRPr="006D2153">
        <w:rPr>
          <w:rFonts w:asciiTheme="minorHAnsi" w:eastAsia="MS Mincho" w:hAnsiTheme="minorHAnsi" w:cstheme="minorHAnsi"/>
          <w:bCs/>
          <w:color w:val="FF0000"/>
          <w:sz w:val="22"/>
          <w:szCs w:val="22"/>
          <w:lang w:val="lt-LT" w:eastAsia="ar-SA"/>
        </w:rPr>
        <w:t>.</w:t>
      </w:r>
      <w:r w:rsidR="00374832" w:rsidRPr="001D10BE">
        <w:rPr>
          <w:rFonts w:asciiTheme="minorHAnsi" w:eastAsia="MS Mincho" w:hAnsiTheme="minorHAnsi" w:cstheme="minorHAnsi"/>
          <w:bCs/>
          <w:color w:val="FF0000"/>
          <w:sz w:val="22"/>
          <w:szCs w:val="22"/>
          <w:lang w:val="lt-LT" w:eastAsia="ar-SA"/>
        </w:rPr>
        <w:t xml:space="preserve"> </w:t>
      </w:r>
    </w:p>
    <w:p w14:paraId="1223D722" w14:textId="42CA66E6" w:rsidR="00DB638C" w:rsidRPr="001D10BE" w:rsidRDefault="00DB638C" w:rsidP="00DB638C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lt-LT"/>
        </w:rPr>
      </w:pPr>
    </w:p>
    <w:p w14:paraId="4E24BB1F" w14:textId="4060FAA2" w:rsidR="00983FDD" w:rsidRPr="001D10BE" w:rsidRDefault="000E0FA0" w:rsidP="00AC105B">
      <w:pPr>
        <w:widowControl/>
        <w:suppressAutoHyphens/>
        <w:spacing w:line="270" w:lineRule="exact"/>
        <w:jc w:val="center"/>
        <w:rPr>
          <w:rFonts w:asciiTheme="minorHAnsi" w:hAnsiTheme="minorHAnsi" w:cstheme="minorHAnsi"/>
          <w:b/>
          <w:bCs/>
          <w:color w:val="000000"/>
          <w:lang w:val="lt-LT"/>
        </w:rPr>
      </w:pPr>
      <w:bookmarkStart w:id="0" w:name="_Hlk63882515"/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>S</w:t>
      </w:r>
      <w:r w:rsidRPr="001D10B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>varbiau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sioje </w:t>
      </w:r>
      <w:r w:rsidRPr="001D10B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>Lietuvos eksporto rink</w:t>
      </w:r>
      <w:r w:rsidR="00303BFB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>oje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 – Vokietijoje </w:t>
      </w:r>
      <w:r w:rsidR="002227D6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–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iki </w:t>
      </w:r>
      <w:r w:rsidRPr="000E0FA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65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proc. </w:t>
      </w:r>
      <w:r w:rsidR="007E3BAC" w:rsidRPr="001D10B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>aug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s </w:t>
      </w:r>
      <w:r w:rsidR="007E3BAC" w:rsidRPr="001D10BE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lt-LT"/>
        </w:rPr>
        <w:t xml:space="preserve">bankrotų </w:t>
      </w:r>
    </w:p>
    <w:p w14:paraId="0565818E" w14:textId="77777777" w:rsidR="00983FDD" w:rsidRPr="001D10BE" w:rsidRDefault="00983FDD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lt-LT"/>
        </w:rPr>
      </w:pPr>
    </w:p>
    <w:p w14:paraId="1222635A" w14:textId="27000C1E" w:rsidR="002227D6" w:rsidRPr="002227D6" w:rsidRDefault="00BC0127" w:rsidP="002227D6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Svarbiausioje Lietuvos eksport</w:t>
      </w:r>
      <w:r w:rsidR="00114F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 </w:t>
      </w:r>
      <w:r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rinkoje </w:t>
      </w:r>
      <w:r w:rsidR="00951B3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– </w:t>
      </w:r>
      <w:r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Vokietijoje</w:t>
      </w:r>
      <w:r w:rsidR="00951B30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nuo šių metų pradžios smarkiai padaugėjo bankroto </w:t>
      </w:r>
      <w:r w:rsidR="007174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atvejų. 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Tarptautinės rizikos valdymo bendrovės „</w:t>
      </w:r>
      <w:proofErr w:type="spellStart"/>
      <w:r w:rsidR="001977A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Coface</w:t>
      </w:r>
      <w:proofErr w:type="spellEnd"/>
      <w:r w:rsidR="001977A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977A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vertinimu, 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jau </w:t>
      </w:r>
      <w:r w:rsidR="001977A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artimiausiu metu 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šalyje </w:t>
      </w:r>
      <w:r w:rsidR="001977A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bus paskelbta iki 4030 naujų bankroto </w:t>
      </w:r>
      <w:r w:rsidR="007174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bylų. </w:t>
      </w:r>
      <w:r w:rsidR="00185D9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Vokietijos oficialiosios statistikos duomenimis, tikėtinas bankroto atvejų skaičius augs 65 proc., palyginti su 2019 m.</w:t>
      </w:r>
      <w:r w:rsidR="00185D9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185D9C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gali siekti 1,44 mlrd. Eur – tai didžiausia suma nuo 2009 m. 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>Nors Lietuvos</w:t>
      </w:r>
      <w:r w:rsidR="00AC2AD5">
        <w:rPr>
          <w:rFonts w:asciiTheme="minorHAnsi" w:hAnsiTheme="minorHAnsi" w:cstheme="minorHAnsi"/>
          <w:b/>
          <w:bCs/>
          <w:sz w:val="22"/>
          <w:szCs w:val="22"/>
          <w:lang w:val="lt-LT"/>
        </w:rPr>
        <w:t>–</w:t>
      </w:r>
      <w:r w:rsidR="002227D6" w:rsidRPr="002227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Vokietijos bendro kapitalo įmonių skaičius auga, ekspertai pataria atidžiai stebėti verslo partnerių finansinę būklę. </w:t>
      </w:r>
    </w:p>
    <w:p w14:paraId="7488D947" w14:textId="4C4A38DB" w:rsidR="002227D6" w:rsidRPr="002227D6" w:rsidRDefault="002227D6" w:rsidP="002227D6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99CC14E" w14:textId="5DF8D58F" w:rsidR="00845D29" w:rsidRPr="00AC2996" w:rsidRDefault="001977AC" w:rsidP="002227D6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Penkis mėnesius 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 xml:space="preserve">trunkantis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karantinas daliai Vokietijos verslo įmonių tapo lemiam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. Šių metų vasarį ir kovą</w:t>
      </w:r>
      <w:r w:rsidR="002227D6">
        <w:rPr>
          <w:rFonts w:asciiTheme="minorHAnsi" w:hAnsiTheme="minorHAnsi" w:cstheme="minorHAnsi"/>
          <w:sz w:val="22"/>
          <w:szCs w:val="22"/>
          <w:lang w:val="lt-LT"/>
        </w:rPr>
        <w:t xml:space="preserve"> Vokietijos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teismuose </w:t>
      </w:r>
      <w:r w:rsidR="005E4F1A">
        <w:rPr>
          <w:rFonts w:asciiTheme="minorHAnsi" w:hAnsiTheme="minorHAnsi" w:cstheme="minorHAnsi"/>
          <w:sz w:val="22"/>
          <w:szCs w:val="22"/>
          <w:lang w:val="lt-LT"/>
        </w:rPr>
        <w:t>gerokai padaugėjo</w:t>
      </w:r>
      <w:r w:rsidR="006D338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naujų bankroto bylų. Nepaisant ekonomikos atsigavimo, prognozuojam</w:t>
      </w:r>
      <w:r w:rsidR="002227D6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šių metų antrąjį </w:t>
      </w:r>
      <w:r w:rsidR="002227D6">
        <w:rPr>
          <w:rFonts w:asciiTheme="minorHAnsi" w:hAnsiTheme="minorHAnsi" w:cstheme="minorHAnsi"/>
          <w:sz w:val="22"/>
          <w:szCs w:val="22"/>
          <w:lang w:val="lt-LT"/>
        </w:rPr>
        <w:t>pusmetį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, dalis Vokietijos įmonių nebegalės atsitiesti. 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 xml:space="preserve">Palyginti su </w:t>
      </w:r>
      <w:r w:rsidR="00AC2996" w:rsidRPr="00AC2996">
        <w:rPr>
          <w:rFonts w:asciiTheme="minorHAnsi" w:hAnsiTheme="minorHAnsi" w:cstheme="minorHAnsi"/>
          <w:sz w:val="22"/>
          <w:szCs w:val="22"/>
          <w:lang w:val="lt-LT"/>
        </w:rPr>
        <w:t xml:space="preserve">2020 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 xml:space="preserve">m., naujų bankroto bylų šiemet vasarį padaugėjo </w:t>
      </w:r>
      <w:r w:rsidR="00AC2996" w:rsidRPr="00AC2996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 xml:space="preserve">0 proc., o kovą – </w:t>
      </w:r>
      <w:r w:rsidR="00AC2996" w:rsidRPr="00AC2996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AC2996">
        <w:rPr>
          <w:rFonts w:asciiTheme="minorHAnsi" w:hAnsiTheme="minorHAnsi" w:cstheme="minorHAnsi"/>
          <w:sz w:val="22"/>
          <w:szCs w:val="22"/>
          <w:lang w:val="lt-LT"/>
        </w:rPr>
        <w:t xml:space="preserve">7 proc. </w:t>
      </w:r>
    </w:p>
    <w:p w14:paraId="39B6689E" w14:textId="25D84F50" w:rsidR="002227D6" w:rsidRDefault="002227D6" w:rsidP="002227D6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66788B3" w14:textId="7AC565A1" w:rsidR="002227D6" w:rsidRPr="001D10BE" w:rsidRDefault="00AC2996" w:rsidP="002227D6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„Vokietija Lietuvai yra svarbiausia eksporto rinka, kurios reikšmė pastaraisiais metais vis</w:t>
      </w:r>
      <w:r w:rsidR="001E7C97">
        <w:rPr>
          <w:rFonts w:asciiTheme="minorHAnsi" w:hAnsiTheme="minorHAnsi" w:cstheme="minorHAnsi"/>
          <w:sz w:val="22"/>
          <w:szCs w:val="22"/>
          <w:lang w:val="lt-LT"/>
        </w:rPr>
        <w:t xml:space="preserve"> stiprėjo.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Suprantama, kad pandemija paveikė vis</w:t>
      </w:r>
      <w:r w:rsidR="001E7C97"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pasaulio šalis </w:t>
      </w:r>
      <w:r w:rsidR="00B76668">
        <w:rPr>
          <w:rFonts w:asciiTheme="minorHAnsi" w:hAnsiTheme="minorHAnsi" w:cstheme="minorHAnsi"/>
          <w:sz w:val="22"/>
          <w:szCs w:val="22"/>
          <w:lang w:val="lt-LT"/>
        </w:rPr>
        <w:t xml:space="preserve">ir net tokias stiprias ekonomikas kaip </w:t>
      </w:r>
      <w:r>
        <w:rPr>
          <w:rFonts w:asciiTheme="minorHAnsi" w:hAnsiTheme="minorHAnsi" w:cstheme="minorHAnsi"/>
          <w:sz w:val="22"/>
          <w:szCs w:val="22"/>
          <w:lang w:val="lt-LT"/>
        </w:rPr>
        <w:t>Vokietij</w:t>
      </w:r>
      <w:r w:rsidR="00B76668">
        <w:rPr>
          <w:rFonts w:asciiTheme="minorHAnsi" w:hAnsiTheme="minorHAnsi" w:cstheme="minorHAnsi"/>
          <w:sz w:val="22"/>
          <w:szCs w:val="22"/>
          <w:lang w:val="lt-LT"/>
        </w:rPr>
        <w:t>a. 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ūsų </w:t>
      </w:r>
      <w:r w:rsidR="00B76668">
        <w:rPr>
          <w:rFonts w:asciiTheme="minorHAnsi" w:hAnsiTheme="minorHAnsi" w:cstheme="minorHAnsi"/>
          <w:sz w:val="22"/>
          <w:szCs w:val="22"/>
          <w:lang w:val="lt-LT"/>
        </w:rPr>
        <w:t xml:space="preserve">šalies </w:t>
      </w:r>
      <w:r>
        <w:rPr>
          <w:rFonts w:asciiTheme="minorHAnsi" w:hAnsiTheme="minorHAnsi" w:cstheme="minorHAnsi"/>
          <w:sz w:val="22"/>
          <w:szCs w:val="22"/>
          <w:lang w:val="lt-LT"/>
        </w:rPr>
        <w:t>verslininkams svarbu žinoti, kad prieš su</w:t>
      </w:r>
      <w:r w:rsidR="00B76668">
        <w:rPr>
          <w:rFonts w:asciiTheme="minorHAnsi" w:hAnsiTheme="minorHAnsi" w:cstheme="minorHAnsi"/>
          <w:sz w:val="22"/>
          <w:szCs w:val="22"/>
          <w:lang w:val="lt-LT"/>
        </w:rPr>
        <w:t xml:space="preserve">darant naujus kontraktus pravartu atidžiau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pasitikrinti partnerių finansinę situaciją“, – sako Mantvydas 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Štareika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>, „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Coface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Baltics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“ vadovas. </w:t>
      </w:r>
    </w:p>
    <w:p w14:paraId="78045B9E" w14:textId="77777777" w:rsidR="006A0AC2" w:rsidRPr="001D10BE" w:rsidRDefault="006A0AC2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E1FD62" w14:textId="71A11B83" w:rsidR="001977AC" w:rsidRPr="00DB5C66" w:rsidRDefault="00DB5C66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B5C6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Nemokumo atvejų augimą pandemijos metu sustabdė valstybės parama, tačiau situacija keičiasi </w:t>
      </w:r>
    </w:p>
    <w:p w14:paraId="2687792B" w14:textId="77777777" w:rsidR="00B76668" w:rsidRPr="001D10BE" w:rsidRDefault="00B76668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45C5754" w14:textId="245C3FB9" w:rsidR="001977AC" w:rsidRPr="001D10BE" w:rsidRDefault="00B62F2A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Coface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“ analizėje skelbiama, kad </w:t>
      </w:r>
      <w:r w:rsidR="001274BE">
        <w:rPr>
          <w:rFonts w:asciiTheme="minorHAnsi" w:hAnsiTheme="minorHAnsi" w:cstheme="minorHAnsi"/>
          <w:sz w:val="22"/>
          <w:szCs w:val="22"/>
          <w:lang w:val="lt-LT"/>
        </w:rPr>
        <w:t xml:space="preserve">pernai </w:t>
      </w:r>
      <w:r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ėl Vokietijos vyriausybės taikomų pagalbos priemonių bankrotų skaičius</w:t>
      </w:r>
      <w:r w:rsidR="001274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sumažėjo</w:t>
      </w:r>
      <w:r w:rsidR="00DB5C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15,5 proc., palyginti su 2019 m. </w:t>
      </w:r>
      <w:r w:rsidR="00A739BB">
        <w:rPr>
          <w:rFonts w:asciiTheme="minorHAnsi" w:hAnsiTheme="minorHAnsi" w:cstheme="minorHAnsi"/>
          <w:sz w:val="22"/>
          <w:szCs w:val="22"/>
          <w:lang w:val="lt-LT"/>
        </w:rPr>
        <w:t>B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uvo pasiektas žemiausias nemokumo atvejų lygis nuo pat 2009 m. Paskaičiuota, kad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įvairiomis pagalbos priemonėmis – lengvatinėmis paskolomis, subsidijomis, valstybės garantijomis, kurios padėjo išvengti bankroto 2020 m., iš viso Vokietijoje pasinaudojo</w:t>
      </w:r>
      <w:r w:rsidR="00DB5C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 mln</w:t>
      </w:r>
      <w:r w:rsidR="007B1748" w:rsidRPr="006D215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monių.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>Pernai balandį p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riverstinių prastovų metu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paramą gavo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18 proc. visų dirbančiųjų Vokietijoje</w:t>
      </w:r>
      <w:r w:rsidR="006D215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iš 609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7B1748" w:rsidRPr="006D2153">
        <w:rPr>
          <w:rFonts w:asciiTheme="minorHAnsi" w:hAnsiTheme="minorHAnsi" w:cstheme="minorHAnsi"/>
          <w:sz w:val="22"/>
          <w:szCs w:val="22"/>
          <w:lang w:val="lt-LT"/>
        </w:rPr>
        <w:t xml:space="preserve">7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tūkst. 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>įmon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ių.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>Vi</w:t>
      </w:r>
      <w:r w:rsidR="001D7895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sa tai sustabdė nemokumo atvejų augimą 2020 m. </w:t>
      </w:r>
    </w:p>
    <w:p w14:paraId="5BBDCA79" w14:textId="77777777" w:rsidR="004861D9" w:rsidRPr="001D10BE" w:rsidRDefault="004861D9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F67A3D" w14:textId="411C1B71" w:rsidR="004861D9" w:rsidRPr="001D10BE" w:rsidRDefault="00DD1EEC" w:rsidP="00496019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Vis dėlto</w:t>
      </w:r>
      <w:r w:rsidR="004861D9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ne visoms nuo pandemijos kenčiančioms įmonėms parama padėjo išgyventi. </w:t>
      </w:r>
      <w:r w:rsidR="004861D9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Palyginti su 2019 m.,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statybos sektoriuje ir </w:t>
      </w:r>
      <w:r w:rsidR="004861D9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metalo pramonėje bankrotų skaičius pernai išaugo 7 proc., o automobilių gamybos sektoriuje – net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>trečdaliu (</w:t>
      </w:r>
      <w:r w:rsidR="004861D9" w:rsidRPr="001D10BE">
        <w:rPr>
          <w:rFonts w:asciiTheme="minorHAnsi" w:hAnsiTheme="minorHAnsi" w:cstheme="minorHAnsi"/>
          <w:sz w:val="22"/>
          <w:szCs w:val="22"/>
          <w:lang w:val="lt-LT"/>
        </w:rPr>
        <w:t>32 proc.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). </w:t>
      </w:r>
    </w:p>
    <w:p w14:paraId="076DF8CC" w14:textId="6DD105F1" w:rsidR="004861D9" w:rsidRPr="001D10BE" w:rsidRDefault="004861D9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6DDECBC" w14:textId="4AA0160A" w:rsidR="008C57FB" w:rsidRDefault="006A0AC2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>Coface</w:t>
      </w:r>
      <w:proofErr w:type="spellEnd"/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” analizėje pažymima, kad nustebino 2767 proc. tikėtinas bankrotų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apimties </w:t>
      </w:r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augimas </w:t>
      </w:r>
      <w:r w:rsidR="0023075D" w:rsidRPr="001D10BE">
        <w:rPr>
          <w:rFonts w:asciiTheme="minorHAnsi" w:hAnsiTheme="minorHAnsi" w:cstheme="minorHAnsi"/>
          <w:sz w:val="22"/>
          <w:szCs w:val="22"/>
          <w:lang w:val="lt-LT"/>
        </w:rPr>
        <w:t>IRT (</w:t>
      </w:r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>informacinių</w:t>
      </w:r>
      <w:r w:rsidR="006D2153">
        <w:rPr>
          <w:rFonts w:asciiTheme="minorHAnsi" w:hAnsiTheme="minorHAnsi" w:cstheme="minorHAnsi"/>
          <w:sz w:val="22"/>
          <w:szCs w:val="22"/>
          <w:lang w:val="lt-LT"/>
        </w:rPr>
        <w:t xml:space="preserve"> ir ryšio </w:t>
      </w:r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>technologijų</w:t>
      </w:r>
      <w:r w:rsidR="006D2153">
        <w:rPr>
          <w:rFonts w:asciiTheme="minorHAnsi" w:hAnsiTheme="minorHAnsi" w:cstheme="minorHAnsi"/>
          <w:sz w:val="22"/>
          <w:szCs w:val="22"/>
          <w:lang w:val="lt-LT"/>
        </w:rPr>
        <w:t xml:space="preserve">) </w:t>
      </w:r>
      <w:r w:rsidR="008C57FB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sektoriuje – tai siejama su 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stambiu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nemokumo </w:t>
      </w:r>
      <w:r w:rsidR="0023075D" w:rsidRPr="001D10BE">
        <w:rPr>
          <w:rFonts w:asciiTheme="minorHAnsi" w:hAnsiTheme="minorHAnsi" w:cstheme="minorHAnsi"/>
          <w:sz w:val="22"/>
          <w:szCs w:val="22"/>
          <w:lang w:val="lt-LT"/>
        </w:rPr>
        <w:t>atveju vienoje iš Vokietijos kliringo kompanijų,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3075D" w:rsidRPr="001D10BE">
        <w:rPr>
          <w:rFonts w:asciiTheme="minorHAnsi" w:hAnsiTheme="minorHAnsi" w:cstheme="minorHAnsi"/>
          <w:sz w:val="22"/>
          <w:szCs w:val="22"/>
          <w:lang w:val="lt-LT"/>
        </w:rPr>
        <w:t>aptarna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vusioje daug </w:t>
      </w:r>
      <w:r w:rsidR="0023075D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farmacijos 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>bendrovių. T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>aip pat tikėtina, kad Vokietijos a</w:t>
      </w:r>
      <w:r w:rsidR="00CE37BE" w:rsidRPr="001D10BE">
        <w:rPr>
          <w:rFonts w:asciiTheme="minorHAnsi" w:hAnsiTheme="minorHAnsi" w:cstheme="minorHAnsi"/>
          <w:sz w:val="22"/>
          <w:szCs w:val="22"/>
          <w:lang w:val="lt-LT"/>
        </w:rPr>
        <w:t>pgyvendinimo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E37BE" w:rsidRPr="001D10BE">
        <w:rPr>
          <w:rFonts w:asciiTheme="minorHAnsi" w:hAnsiTheme="minorHAnsi" w:cstheme="minorHAnsi"/>
          <w:sz w:val="22"/>
          <w:szCs w:val="22"/>
          <w:lang w:val="lt-LT"/>
        </w:rPr>
        <w:t>sektoriuje bankrotų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E37BE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daugės 383 proc., </w:t>
      </w:r>
      <w:r w:rsidR="00F51208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kontaktinių paslaugų (kirpėjų, kosmetologų ir pan.) įmonėse – 133 proc., o </w:t>
      </w:r>
      <w:r w:rsidR="00CE37BE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mažmeninėje prekyboje – 116 proc. </w:t>
      </w:r>
    </w:p>
    <w:p w14:paraId="401A5C0A" w14:textId="77777777" w:rsidR="00496019" w:rsidRPr="001D10BE" w:rsidRDefault="00496019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36A18E2" w14:textId="6E5590EB" w:rsidR="00CE37BE" w:rsidRPr="001D10BE" w:rsidRDefault="00CE37BE" w:rsidP="007B1748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>Kartu pastebima, kad kitose veiklos srityse įmonių rezultatai buvo kur kas geresni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>. P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avyzdžiui, energetikos sektoriuje nemokumo atvejų sumažėjo </w:t>
      </w:r>
      <w:r w:rsidR="00F51208" w:rsidRPr="001D10BE">
        <w:rPr>
          <w:rFonts w:asciiTheme="minorHAnsi" w:hAnsiTheme="minorHAnsi" w:cstheme="minorHAnsi"/>
          <w:sz w:val="22"/>
          <w:szCs w:val="22"/>
          <w:lang w:val="lt-LT"/>
        </w:rPr>
        <w:t>97 proc., transporto</w:t>
      </w:r>
      <w:r w:rsidR="007B1748">
        <w:rPr>
          <w:rFonts w:asciiTheme="minorHAnsi" w:hAnsiTheme="minorHAnsi" w:cstheme="minorHAnsi"/>
          <w:sz w:val="22"/>
          <w:szCs w:val="22"/>
          <w:lang w:val="lt-LT"/>
        </w:rPr>
        <w:t xml:space="preserve"> įmonėse </w:t>
      </w:r>
      <w:r w:rsidR="00496019" w:rsidRPr="001D10BE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49601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51208" w:rsidRPr="001D10BE">
        <w:rPr>
          <w:rFonts w:asciiTheme="minorHAnsi" w:hAnsiTheme="minorHAnsi" w:cstheme="minorHAnsi"/>
          <w:sz w:val="22"/>
          <w:szCs w:val="22"/>
          <w:lang w:val="lt-LT"/>
        </w:rPr>
        <w:t>84 proc.</w:t>
      </w:r>
    </w:p>
    <w:p w14:paraId="58877C02" w14:textId="77777777" w:rsidR="00F51208" w:rsidRPr="001D10BE" w:rsidRDefault="00F51208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640EB6" w14:textId="63A58387" w:rsidR="008C57FB" w:rsidRPr="001D10BE" w:rsidRDefault="00E75191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b/>
          <w:bCs/>
          <w:sz w:val="22"/>
          <w:szCs w:val="22"/>
          <w:lang w:val="lt-LT"/>
        </w:rPr>
        <w:t>Lietuvos</w:t>
      </w:r>
      <w:r w:rsidR="004E1FBA">
        <w:rPr>
          <w:rFonts w:asciiTheme="minorHAnsi" w:hAnsiTheme="minorHAnsi" w:cstheme="minorHAnsi"/>
          <w:b/>
          <w:bCs/>
          <w:sz w:val="22"/>
          <w:szCs w:val="22"/>
          <w:lang w:val="lt-LT"/>
        </w:rPr>
        <w:t>–</w:t>
      </w:r>
      <w:r w:rsidRPr="001D10BE">
        <w:rPr>
          <w:rFonts w:asciiTheme="minorHAnsi" w:hAnsiTheme="minorHAnsi" w:cstheme="minorHAnsi"/>
          <w:b/>
          <w:bCs/>
          <w:sz w:val="22"/>
          <w:szCs w:val="22"/>
          <w:lang w:val="lt-LT"/>
        </w:rPr>
        <w:t>Vokietijos kapitalo įmonių daugėja, tačiau auga</w:t>
      </w:r>
      <w:r w:rsidR="00E61F0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Pr="001D10BE">
        <w:rPr>
          <w:rFonts w:asciiTheme="minorHAnsi" w:hAnsiTheme="minorHAnsi" w:cstheme="minorHAnsi"/>
          <w:b/>
          <w:bCs/>
          <w:sz w:val="22"/>
          <w:szCs w:val="22"/>
          <w:lang w:val="lt-LT"/>
        </w:rPr>
        <w:t>jų rizikingumas</w:t>
      </w:r>
    </w:p>
    <w:p w14:paraId="6F95C721" w14:textId="77777777" w:rsidR="00E75191" w:rsidRPr="001D10BE" w:rsidRDefault="00E75191" w:rsidP="00983FDD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BA86D14" w14:textId="78AA3869" w:rsidR="00686721" w:rsidRDefault="006A0AC2" w:rsidP="00686721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>Kredito biuro „</w:t>
      </w:r>
      <w:proofErr w:type="spellStart"/>
      <w:r w:rsidRPr="001D10BE">
        <w:rPr>
          <w:rFonts w:asciiTheme="minorHAnsi" w:hAnsiTheme="minorHAnsi" w:cstheme="minorHAnsi"/>
          <w:sz w:val="22"/>
          <w:szCs w:val="22"/>
          <w:lang w:val="lt-LT"/>
        </w:rPr>
        <w:t>Creditinfo</w:t>
      </w:r>
      <w:proofErr w:type="spellEnd"/>
      <w:r w:rsidR="00B4354F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“ duomenimis, mūsų šalyje</w:t>
      </w:r>
      <w:r w:rsidR="00B435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Lietuvos</w:t>
      </w:r>
      <w:r w:rsidR="008C213D" w:rsidRPr="006D2153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Vokietijos kapitalo įmonių skaičius išlieka stabilus ir netgi auga. Pvz., 2019 m. pradžioje tokių įmonių buvo 377, pernai – 391, o šių metų gegužę – 393. </w:t>
      </w:r>
      <w:r w:rsidR="00B4354F" w:rsidRPr="00B4354F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B4354F">
        <w:rPr>
          <w:rFonts w:asciiTheme="minorHAnsi" w:hAnsiTheme="minorHAnsi" w:cstheme="minorHAnsi"/>
          <w:sz w:val="22"/>
          <w:szCs w:val="22"/>
          <w:lang w:val="lt-LT"/>
        </w:rPr>
        <w:t xml:space="preserve">20 m. šios įmonės gavo </w:t>
      </w:r>
      <w:r w:rsidR="00B4354F" w:rsidRPr="001D10BE">
        <w:rPr>
          <w:rFonts w:asciiTheme="minorHAnsi" w:hAnsiTheme="minorHAnsi" w:cstheme="minorHAnsi"/>
          <w:sz w:val="22"/>
          <w:szCs w:val="22"/>
          <w:lang w:val="lt-LT"/>
        </w:rPr>
        <w:t>443,6 mln. Eur pajam</w:t>
      </w:r>
      <w:r w:rsidR="00C95A3B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B4354F">
        <w:rPr>
          <w:rFonts w:asciiTheme="minorHAnsi" w:hAnsiTheme="minorHAnsi" w:cstheme="minorHAnsi"/>
          <w:sz w:val="22"/>
          <w:szCs w:val="22"/>
          <w:lang w:val="lt-LT"/>
        </w:rPr>
        <w:t>; š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iuo metu </w:t>
      </w:r>
      <w:r w:rsidR="00325308">
        <w:rPr>
          <w:rFonts w:asciiTheme="minorHAnsi" w:hAnsiTheme="minorHAnsi" w:cstheme="minorHAnsi"/>
          <w:sz w:val="22"/>
          <w:szCs w:val="22"/>
          <w:lang w:val="lt-LT"/>
        </w:rPr>
        <w:t xml:space="preserve">Lietuvos–Vokietijos kapitalo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įmonėse dirba 13279 darbuotojai</w:t>
      </w:r>
      <w:r w:rsidR="00B4354F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7726E61F" w14:textId="77777777" w:rsidR="00EA5128" w:rsidRPr="001D10BE" w:rsidRDefault="00EA5128" w:rsidP="00686721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345EFE5" w14:textId="672326AA" w:rsidR="001977AC" w:rsidRDefault="006A0AC2" w:rsidP="00943832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>Vis dėlto „</w:t>
      </w:r>
      <w:proofErr w:type="spellStart"/>
      <w:r w:rsidRPr="001D10BE">
        <w:rPr>
          <w:rFonts w:asciiTheme="minorHAnsi" w:hAnsiTheme="minorHAnsi" w:cstheme="minorHAnsi"/>
          <w:sz w:val="22"/>
          <w:szCs w:val="22"/>
          <w:lang w:val="lt-LT"/>
        </w:rPr>
        <w:t>Creditinfo</w:t>
      </w:r>
      <w:proofErr w:type="spellEnd"/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Lietuva“ analitikai pataria atidžiai stebėti Vokietijos verslo partnerių finansinę būklę. Palyginti su 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>2019 m.</w:t>
      </w:r>
      <w:r w:rsidR="00B8215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>Lietuvos</w:t>
      </w:r>
      <w:r w:rsidR="008C213D" w:rsidRPr="006D2153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>Vokietijos</w:t>
      </w:r>
      <w:r w:rsidR="00B8215F">
        <w:rPr>
          <w:rFonts w:asciiTheme="minorHAnsi" w:hAnsiTheme="minorHAnsi" w:cstheme="minorHAnsi"/>
          <w:sz w:val="22"/>
          <w:szCs w:val="22"/>
          <w:lang w:val="lt-LT"/>
        </w:rPr>
        <w:t xml:space="preserve"> kapitalo 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>įmonių vėlavimo rizik</w:t>
      </w:r>
      <w:r w:rsidR="00B8215F">
        <w:rPr>
          <w:rFonts w:asciiTheme="minorHAnsi" w:hAnsiTheme="minorHAnsi" w:cstheme="minorHAnsi"/>
          <w:sz w:val="22"/>
          <w:szCs w:val="22"/>
          <w:lang w:val="lt-LT"/>
        </w:rPr>
        <w:t xml:space="preserve">a išaugo: 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nuo 9 proc. iki 15 proc. padaugėjo </w:t>
      </w:r>
      <w:r w:rsidR="00B8215F">
        <w:rPr>
          <w:rFonts w:asciiTheme="minorHAnsi" w:hAnsiTheme="minorHAnsi" w:cstheme="minorHAnsi"/>
          <w:sz w:val="22"/>
          <w:szCs w:val="22"/>
          <w:lang w:val="lt-LT"/>
        </w:rPr>
        <w:t xml:space="preserve">bendrovių, 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>priklausančių aukštai ir aukščiausiai rizikos klasėms</w:t>
      </w:r>
      <w:r w:rsidR="00B8215F">
        <w:rPr>
          <w:rFonts w:asciiTheme="minorHAnsi" w:hAnsiTheme="minorHAnsi" w:cstheme="minorHAnsi"/>
          <w:sz w:val="22"/>
          <w:szCs w:val="22"/>
          <w:lang w:val="lt-LT"/>
        </w:rPr>
        <w:t>. T</w:t>
      </w:r>
      <w:r w:rsidR="00943832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aip pat nuo 7 proc. iki 9 proc. padaugėjo įmonių, priskiriamų aukštai ir aukščiausiai bankroto klasėms. </w:t>
      </w:r>
    </w:p>
    <w:p w14:paraId="76E02AD6" w14:textId="10D84796" w:rsidR="00556C4E" w:rsidRDefault="00556C4E" w:rsidP="00943832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579832D" w14:textId="1532BEB0" w:rsidR="001977AC" w:rsidRDefault="001D10BE" w:rsidP="001D10BE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VŠĮ „Versli Lietuva“ duomenimis, 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pernai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lietuviškos kilmės prekių eksportas į Vokietiją sudarė 10,2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proc. 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FB12EC">
        <w:rPr>
          <w:rFonts w:asciiTheme="minorHAnsi" w:hAnsiTheme="minorHAnsi" w:cstheme="minorHAnsi"/>
          <w:sz w:val="22"/>
          <w:szCs w:val="22"/>
          <w:lang w:val="en-US"/>
        </w:rPr>
        <w:t xml:space="preserve">1,7 </w:t>
      </w:r>
      <w:proofErr w:type="spellStart"/>
      <w:r w:rsidR="00FB12EC">
        <w:rPr>
          <w:rFonts w:asciiTheme="minorHAnsi" w:hAnsiTheme="minorHAnsi" w:cstheme="minorHAnsi"/>
          <w:sz w:val="22"/>
          <w:szCs w:val="22"/>
          <w:lang w:val="en-US"/>
        </w:rPr>
        <w:t>mlrd</w:t>
      </w:r>
      <w:proofErr w:type="spellEnd"/>
      <w:r w:rsidR="00FB12EC">
        <w:rPr>
          <w:rFonts w:asciiTheme="minorHAnsi" w:hAnsiTheme="minorHAnsi" w:cstheme="minorHAnsi"/>
          <w:sz w:val="22"/>
          <w:szCs w:val="22"/>
          <w:lang w:val="en-US"/>
        </w:rPr>
        <w:t xml:space="preserve">. Eur)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ir b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uvo 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I-oje vietoje tarp visų eksporto rinkų.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Dar daugiau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– 14,5 </w:t>
      </w:r>
      <w:r>
        <w:rPr>
          <w:rFonts w:asciiTheme="minorHAnsi" w:hAnsiTheme="minorHAnsi" w:cstheme="minorHAnsi"/>
          <w:sz w:val="22"/>
          <w:szCs w:val="22"/>
          <w:lang w:val="lt-LT"/>
        </w:rPr>
        <w:t>proc.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B12EC" w:rsidRPr="001D10BE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Vokietija užima Lietuvos paslaugų eksporte</w:t>
      </w:r>
      <w:r w:rsidR="00D3539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 </w:t>
      </w:r>
    </w:p>
    <w:p w14:paraId="6B079968" w14:textId="1D952764" w:rsidR="00FB12EC" w:rsidRDefault="00FB12EC" w:rsidP="001D10BE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4B485A9" w14:textId="4C865906" w:rsidR="001977AC" w:rsidRDefault="00D35390" w:rsidP="00FB12EC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Pernai l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ietuviškos kilmės prekių į Vokietiją eksporto struktūroje didžiausią dalį sudarė baldai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15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proc.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arba 260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ur),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žuvys ir vėžiagyviai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8,8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proc.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arba 151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ur),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mediena ir medienos dirbiniai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medžio anglys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7,3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proc. a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rba 125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ur),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plastikai ir jų dirbiniai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7,2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proc. arba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123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ur),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elektros mašinos ir įrenginiai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(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6,1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proc. ar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ba 105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>ur). VšĮ „Versli Lietuva“ skelbė, kad p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alyginti su 2019 m.</w:t>
      </w:r>
      <w:r w:rsidR="00B30CF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pernai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lietuviškos kilmės prekių eksporto vertė į Vokietiją padidėjo 2,8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 proc.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arba 47 mln. E</w:t>
      </w:r>
      <w:r w:rsidR="00FB12EC">
        <w:rPr>
          <w:rFonts w:asciiTheme="minorHAnsi" w:hAnsiTheme="minorHAnsi" w:cstheme="minorHAnsi"/>
          <w:sz w:val="22"/>
          <w:szCs w:val="22"/>
          <w:lang w:val="lt-LT"/>
        </w:rPr>
        <w:t xml:space="preserve">ur.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Labiausiai didėjimą lėmė aliejinių kultūrų sėkl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ir vaisi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ų,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įvair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ių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>grūd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ų eksportas. </w:t>
      </w:r>
      <w:r w:rsidR="001D10BE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D790D31" w14:textId="77777777" w:rsidR="00FB12EC" w:rsidRPr="001D10BE" w:rsidRDefault="00FB12EC" w:rsidP="00FB12EC">
      <w:pPr>
        <w:widowControl/>
        <w:suppressAutoHyphens/>
        <w:spacing w:line="270" w:lineRule="exact"/>
        <w:jc w:val="both"/>
        <w:rPr>
          <w:rFonts w:ascii="Calibri" w:hAnsi="Calibri" w:cs="Calibri"/>
          <w:color w:val="1F497D"/>
          <w:sz w:val="22"/>
          <w:szCs w:val="22"/>
          <w:lang w:val="lt-LT"/>
        </w:rPr>
      </w:pPr>
    </w:p>
    <w:p w14:paraId="745D8A24" w14:textId="01A301A2" w:rsidR="00540CDF" w:rsidRPr="001D10BE" w:rsidRDefault="00901597" w:rsidP="0083640F">
      <w:pPr>
        <w:widowControl/>
        <w:suppressAutoHyphens/>
        <w:spacing w:line="27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Išsamią </w:t>
      </w:r>
      <w:r w:rsidR="006D2153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6D2153">
        <w:rPr>
          <w:rFonts w:asciiTheme="minorHAnsi" w:hAnsiTheme="minorHAnsi" w:cstheme="minorHAnsi"/>
          <w:sz w:val="22"/>
          <w:szCs w:val="22"/>
          <w:lang w:val="lt-LT"/>
        </w:rPr>
        <w:t>Coface</w:t>
      </w:r>
      <w:proofErr w:type="spellEnd"/>
      <w:r w:rsidR="006D2153">
        <w:rPr>
          <w:rFonts w:asciiTheme="minorHAnsi" w:hAnsiTheme="minorHAnsi" w:cstheme="minorHAnsi"/>
          <w:sz w:val="22"/>
          <w:szCs w:val="22"/>
          <w:lang w:val="lt-LT"/>
        </w:rPr>
        <w:t xml:space="preserve">“ ekspertų parengtą </w:t>
      </w:r>
      <w:r w:rsidR="007E3BAC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Vokietijos ekonomikos analizę </w:t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>galima rasti</w:t>
      </w:r>
      <w:r w:rsidR="0083640F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hyperlink r:id="rId7" w:history="1">
        <w:r w:rsidR="009F06E0" w:rsidRPr="001D10BE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čia</w:t>
        </w:r>
      </w:hyperlink>
      <w:r w:rsidR="009F06E0"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55FB6145" w14:textId="005F9C37" w:rsidR="002D3040" w:rsidRPr="001D10BE" w:rsidRDefault="00DB18A7" w:rsidP="00374832">
      <w:pPr>
        <w:suppressAutoHyphens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lt-LT"/>
        </w:rPr>
      </w:pPr>
      <w:r w:rsidRPr="001D10BE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  <w:r w:rsidR="00374832" w:rsidRPr="001D10BE">
        <w:rPr>
          <w:rFonts w:asciiTheme="minorHAnsi" w:hAnsiTheme="minorHAnsi" w:cstheme="minorHAnsi"/>
          <w:b/>
          <w:sz w:val="22"/>
          <w:szCs w:val="22"/>
          <w:lang w:val="lt-LT"/>
        </w:rPr>
        <w:br/>
      </w:r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Mantvydas </w:t>
      </w:r>
      <w:proofErr w:type="spellStart"/>
      <w:r w:rsidRPr="001D10BE">
        <w:rPr>
          <w:rFonts w:asciiTheme="minorHAnsi" w:hAnsiTheme="minorHAnsi" w:cstheme="minorHAnsi"/>
          <w:sz w:val="22"/>
          <w:szCs w:val="22"/>
          <w:lang w:val="lt-LT"/>
        </w:rPr>
        <w:t>Štareika</w:t>
      </w:r>
      <w:proofErr w:type="spellEnd"/>
      <w:r w:rsidRPr="001D10BE">
        <w:rPr>
          <w:rFonts w:asciiTheme="minorHAnsi" w:hAnsiTheme="minorHAnsi" w:cstheme="minorHAnsi"/>
          <w:sz w:val="22"/>
          <w:szCs w:val="22"/>
          <w:lang w:val="lt-LT"/>
        </w:rPr>
        <w:t>, „</w:t>
      </w:r>
      <w:proofErr w:type="spellStart"/>
      <w:r w:rsidRPr="001D10BE">
        <w:rPr>
          <w:rFonts w:asciiTheme="minorHAnsi" w:hAnsiTheme="minorHAnsi" w:cstheme="minorHAnsi"/>
          <w:sz w:val="22"/>
          <w:szCs w:val="22"/>
          <w:lang w:val="lt-LT"/>
        </w:rPr>
        <w:t>Coface</w:t>
      </w:r>
      <w:proofErr w:type="spellEnd"/>
      <w:r w:rsidRPr="001D10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1D10BE">
        <w:rPr>
          <w:rFonts w:asciiTheme="minorHAnsi" w:hAnsiTheme="minorHAnsi" w:cstheme="minorHAnsi"/>
          <w:sz w:val="22"/>
          <w:szCs w:val="22"/>
          <w:lang w:val="lt-LT"/>
        </w:rPr>
        <w:t>Baltics</w:t>
      </w:r>
      <w:proofErr w:type="spellEnd"/>
      <w:r w:rsidRPr="001D10BE">
        <w:rPr>
          <w:rFonts w:asciiTheme="minorHAnsi" w:hAnsiTheme="minorHAnsi" w:cstheme="minorHAnsi"/>
          <w:sz w:val="22"/>
          <w:szCs w:val="22"/>
          <w:lang w:val="lt-LT"/>
        </w:rPr>
        <w:t>“ direktorius (Mantvydas.Stareika@coface.com; +37068337602)</w:t>
      </w:r>
    </w:p>
    <w:bookmarkEnd w:id="0"/>
    <w:p w14:paraId="511E5164" w14:textId="13255A53" w:rsidR="00540CDF" w:rsidRPr="001D10BE" w:rsidRDefault="00540CDF" w:rsidP="00E7465A">
      <w:pPr>
        <w:suppressAutoHyphens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lt-LT"/>
        </w:rPr>
      </w:pPr>
    </w:p>
    <w:p w14:paraId="1B06D255" w14:textId="6FBFD8D9" w:rsidR="00540CDF" w:rsidRPr="001D10BE" w:rsidRDefault="00540CDF" w:rsidP="00E7465A">
      <w:pPr>
        <w:suppressAutoHyphens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lt-LT"/>
        </w:rPr>
      </w:pPr>
    </w:p>
    <w:p w14:paraId="2DEEF219" w14:textId="77777777" w:rsidR="00540CDF" w:rsidRPr="001D10BE" w:rsidRDefault="00540CDF" w:rsidP="00E7465A">
      <w:pPr>
        <w:suppressAutoHyphens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lt-LT"/>
        </w:rPr>
      </w:pPr>
    </w:p>
    <w:sectPr w:rsidR="00540CDF" w:rsidRPr="001D10BE" w:rsidSect="002D3040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09CE" w14:textId="77777777" w:rsidR="001A302C" w:rsidRDefault="001A302C" w:rsidP="0042771D">
      <w:r>
        <w:separator/>
      </w:r>
    </w:p>
  </w:endnote>
  <w:endnote w:type="continuationSeparator" w:id="0">
    <w:p w14:paraId="53C4A28D" w14:textId="77777777" w:rsidR="001A302C" w:rsidRDefault="001A302C" w:rsidP="0042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C5111" w14:textId="77777777" w:rsidR="00C5093F" w:rsidRDefault="00C50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5EBFFC" w14:textId="77777777" w:rsidR="00C5093F" w:rsidRDefault="00C5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6A04" w14:textId="77777777" w:rsidR="001A302C" w:rsidRDefault="001A302C" w:rsidP="0042771D">
      <w:r>
        <w:separator/>
      </w:r>
    </w:p>
  </w:footnote>
  <w:footnote w:type="continuationSeparator" w:id="0">
    <w:p w14:paraId="4F9EB2A2" w14:textId="77777777" w:rsidR="001A302C" w:rsidRDefault="001A302C" w:rsidP="0042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26F" w14:textId="77777777" w:rsidR="00C5093F" w:rsidRDefault="00C5093F">
    <w:pPr>
      <w:pStyle w:val="Header"/>
    </w:pPr>
    <w:r>
      <w:ptab w:relativeTo="margin" w:alignment="center" w:leader="none"/>
    </w:r>
    <w:r>
      <w:rPr>
        <w:noProof/>
        <w:lang w:val="lt-LT" w:eastAsia="lt-LT"/>
      </w:rPr>
      <w:drawing>
        <wp:inline distT="0" distB="0" distL="0" distR="0" wp14:anchorId="1D76E72E" wp14:editId="758F813C">
          <wp:extent cx="1151467" cy="418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96" cy="43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532"/>
    <w:multiLevelType w:val="hybridMultilevel"/>
    <w:tmpl w:val="8D6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E7B"/>
    <w:multiLevelType w:val="hybridMultilevel"/>
    <w:tmpl w:val="DA7E8E16"/>
    <w:lvl w:ilvl="0" w:tplc="832EF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22A"/>
    <w:multiLevelType w:val="hybridMultilevel"/>
    <w:tmpl w:val="6AB4D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B02CB"/>
    <w:multiLevelType w:val="hybridMultilevel"/>
    <w:tmpl w:val="CB563C2E"/>
    <w:lvl w:ilvl="0" w:tplc="AE4C4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9D5"/>
    <w:multiLevelType w:val="hybridMultilevel"/>
    <w:tmpl w:val="CFEC1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B61A9"/>
    <w:multiLevelType w:val="hybridMultilevel"/>
    <w:tmpl w:val="B5C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3"/>
    <w:rsid w:val="00004276"/>
    <w:rsid w:val="00004D74"/>
    <w:rsid w:val="000113D5"/>
    <w:rsid w:val="000114C3"/>
    <w:rsid w:val="0001169F"/>
    <w:rsid w:val="00011BA6"/>
    <w:rsid w:val="00013DFB"/>
    <w:rsid w:val="00015A13"/>
    <w:rsid w:val="00021E9B"/>
    <w:rsid w:val="000249E6"/>
    <w:rsid w:val="00025125"/>
    <w:rsid w:val="00026B9C"/>
    <w:rsid w:val="000354CB"/>
    <w:rsid w:val="00041C63"/>
    <w:rsid w:val="00047131"/>
    <w:rsid w:val="000513D9"/>
    <w:rsid w:val="00064DE1"/>
    <w:rsid w:val="00070BB0"/>
    <w:rsid w:val="00081148"/>
    <w:rsid w:val="000812CB"/>
    <w:rsid w:val="0008414F"/>
    <w:rsid w:val="00090443"/>
    <w:rsid w:val="000A0ED6"/>
    <w:rsid w:val="000B0500"/>
    <w:rsid w:val="000B138E"/>
    <w:rsid w:val="000B3338"/>
    <w:rsid w:val="000C4905"/>
    <w:rsid w:val="000C4C3A"/>
    <w:rsid w:val="000C7C7F"/>
    <w:rsid w:val="000D3FF4"/>
    <w:rsid w:val="000D4919"/>
    <w:rsid w:val="000D64A4"/>
    <w:rsid w:val="000D7231"/>
    <w:rsid w:val="000E03F4"/>
    <w:rsid w:val="000E0FA0"/>
    <w:rsid w:val="000E1C9D"/>
    <w:rsid w:val="000E428D"/>
    <w:rsid w:val="000E46F0"/>
    <w:rsid w:val="000E5186"/>
    <w:rsid w:val="000E59E3"/>
    <w:rsid w:val="000F0DCF"/>
    <w:rsid w:val="000F3D6B"/>
    <w:rsid w:val="000F760B"/>
    <w:rsid w:val="000F7D13"/>
    <w:rsid w:val="00101039"/>
    <w:rsid w:val="0010150E"/>
    <w:rsid w:val="00107F34"/>
    <w:rsid w:val="001103BB"/>
    <w:rsid w:val="0011413C"/>
    <w:rsid w:val="001144AA"/>
    <w:rsid w:val="00114F24"/>
    <w:rsid w:val="00116AEF"/>
    <w:rsid w:val="00120B19"/>
    <w:rsid w:val="001212F3"/>
    <w:rsid w:val="00123A36"/>
    <w:rsid w:val="0012659E"/>
    <w:rsid w:val="001274BE"/>
    <w:rsid w:val="0013232A"/>
    <w:rsid w:val="00133DAB"/>
    <w:rsid w:val="00133E66"/>
    <w:rsid w:val="0014097F"/>
    <w:rsid w:val="0014449A"/>
    <w:rsid w:val="00145E70"/>
    <w:rsid w:val="00146E1F"/>
    <w:rsid w:val="001516E2"/>
    <w:rsid w:val="0015184B"/>
    <w:rsid w:val="00156DFA"/>
    <w:rsid w:val="00165DAA"/>
    <w:rsid w:val="00167320"/>
    <w:rsid w:val="00176F76"/>
    <w:rsid w:val="00185D9C"/>
    <w:rsid w:val="00190C26"/>
    <w:rsid w:val="00191168"/>
    <w:rsid w:val="001977AC"/>
    <w:rsid w:val="001A17EE"/>
    <w:rsid w:val="001A2476"/>
    <w:rsid w:val="001A302C"/>
    <w:rsid w:val="001A5AA4"/>
    <w:rsid w:val="001A712F"/>
    <w:rsid w:val="001B0621"/>
    <w:rsid w:val="001B5FF6"/>
    <w:rsid w:val="001B66A5"/>
    <w:rsid w:val="001D10BE"/>
    <w:rsid w:val="001D5F78"/>
    <w:rsid w:val="001D7895"/>
    <w:rsid w:val="001E4F86"/>
    <w:rsid w:val="001E54FF"/>
    <w:rsid w:val="001E71F2"/>
    <w:rsid w:val="001E7C97"/>
    <w:rsid w:val="001F08BD"/>
    <w:rsid w:val="001F0B7C"/>
    <w:rsid w:val="001F0F50"/>
    <w:rsid w:val="001F1F8F"/>
    <w:rsid w:val="001F2644"/>
    <w:rsid w:val="002003CD"/>
    <w:rsid w:val="002046A5"/>
    <w:rsid w:val="00212D54"/>
    <w:rsid w:val="002170D4"/>
    <w:rsid w:val="002170FC"/>
    <w:rsid w:val="002174EC"/>
    <w:rsid w:val="002227D6"/>
    <w:rsid w:val="00225B3A"/>
    <w:rsid w:val="0023075D"/>
    <w:rsid w:val="00230E85"/>
    <w:rsid w:val="0023465E"/>
    <w:rsid w:val="00244A26"/>
    <w:rsid w:val="002510AF"/>
    <w:rsid w:val="00255B6F"/>
    <w:rsid w:val="00261967"/>
    <w:rsid w:val="00265BEB"/>
    <w:rsid w:val="00271894"/>
    <w:rsid w:val="00276268"/>
    <w:rsid w:val="00284A37"/>
    <w:rsid w:val="002873DD"/>
    <w:rsid w:val="00294648"/>
    <w:rsid w:val="00296255"/>
    <w:rsid w:val="002A0496"/>
    <w:rsid w:val="002A4A1C"/>
    <w:rsid w:val="002B185C"/>
    <w:rsid w:val="002B2F81"/>
    <w:rsid w:val="002C02B0"/>
    <w:rsid w:val="002D2FBA"/>
    <w:rsid w:val="002D3040"/>
    <w:rsid w:val="002E0965"/>
    <w:rsid w:val="002E23C9"/>
    <w:rsid w:val="002E52E2"/>
    <w:rsid w:val="002E75C8"/>
    <w:rsid w:val="002F27EE"/>
    <w:rsid w:val="002F416C"/>
    <w:rsid w:val="002F4B76"/>
    <w:rsid w:val="002F611F"/>
    <w:rsid w:val="00300DE1"/>
    <w:rsid w:val="00303340"/>
    <w:rsid w:val="00303BFB"/>
    <w:rsid w:val="00304035"/>
    <w:rsid w:val="00314E06"/>
    <w:rsid w:val="00314E2D"/>
    <w:rsid w:val="0031618E"/>
    <w:rsid w:val="00320C7C"/>
    <w:rsid w:val="00322592"/>
    <w:rsid w:val="00325308"/>
    <w:rsid w:val="00326470"/>
    <w:rsid w:val="00332CB4"/>
    <w:rsid w:val="00333E54"/>
    <w:rsid w:val="00337C7F"/>
    <w:rsid w:val="00346151"/>
    <w:rsid w:val="0035463E"/>
    <w:rsid w:val="00357C2B"/>
    <w:rsid w:val="003635BA"/>
    <w:rsid w:val="00366700"/>
    <w:rsid w:val="00374832"/>
    <w:rsid w:val="00387604"/>
    <w:rsid w:val="00387AE2"/>
    <w:rsid w:val="003A1B37"/>
    <w:rsid w:val="003B4D4D"/>
    <w:rsid w:val="003B65D0"/>
    <w:rsid w:val="003B6909"/>
    <w:rsid w:val="003C096D"/>
    <w:rsid w:val="003C0E8D"/>
    <w:rsid w:val="003C114B"/>
    <w:rsid w:val="003C3742"/>
    <w:rsid w:val="003C50FF"/>
    <w:rsid w:val="003D1FFB"/>
    <w:rsid w:val="003E06D8"/>
    <w:rsid w:val="003E09F9"/>
    <w:rsid w:val="003E5B39"/>
    <w:rsid w:val="003F2AF3"/>
    <w:rsid w:val="003F61AE"/>
    <w:rsid w:val="003F6836"/>
    <w:rsid w:val="003F6A80"/>
    <w:rsid w:val="003F6DE5"/>
    <w:rsid w:val="00402984"/>
    <w:rsid w:val="00403D40"/>
    <w:rsid w:val="00407253"/>
    <w:rsid w:val="00411ECB"/>
    <w:rsid w:val="00411F18"/>
    <w:rsid w:val="00414EC3"/>
    <w:rsid w:val="00417143"/>
    <w:rsid w:val="00424988"/>
    <w:rsid w:val="0042771D"/>
    <w:rsid w:val="00433CAD"/>
    <w:rsid w:val="00442ACB"/>
    <w:rsid w:val="00447C69"/>
    <w:rsid w:val="00451338"/>
    <w:rsid w:val="00452E9C"/>
    <w:rsid w:val="004639CF"/>
    <w:rsid w:val="00474FD9"/>
    <w:rsid w:val="00483F5B"/>
    <w:rsid w:val="004861D9"/>
    <w:rsid w:val="00490EB5"/>
    <w:rsid w:val="0049493F"/>
    <w:rsid w:val="00495344"/>
    <w:rsid w:val="00496019"/>
    <w:rsid w:val="0049619B"/>
    <w:rsid w:val="0049704B"/>
    <w:rsid w:val="00497CBA"/>
    <w:rsid w:val="004A2927"/>
    <w:rsid w:val="004B7760"/>
    <w:rsid w:val="004B777A"/>
    <w:rsid w:val="004B7E66"/>
    <w:rsid w:val="004B7F44"/>
    <w:rsid w:val="004C4676"/>
    <w:rsid w:val="004D4A34"/>
    <w:rsid w:val="004D6AEA"/>
    <w:rsid w:val="004D766C"/>
    <w:rsid w:val="004E1FBA"/>
    <w:rsid w:val="004E2BE8"/>
    <w:rsid w:val="004E582D"/>
    <w:rsid w:val="004E7A47"/>
    <w:rsid w:val="004F7944"/>
    <w:rsid w:val="004F7BA1"/>
    <w:rsid w:val="00500858"/>
    <w:rsid w:val="005048E9"/>
    <w:rsid w:val="005217B3"/>
    <w:rsid w:val="005257FD"/>
    <w:rsid w:val="00533EB6"/>
    <w:rsid w:val="0054001B"/>
    <w:rsid w:val="00540948"/>
    <w:rsid w:val="00540CDF"/>
    <w:rsid w:val="00540D49"/>
    <w:rsid w:val="005412E6"/>
    <w:rsid w:val="00544156"/>
    <w:rsid w:val="00545347"/>
    <w:rsid w:val="00555B5B"/>
    <w:rsid w:val="00556C4E"/>
    <w:rsid w:val="00560576"/>
    <w:rsid w:val="00561142"/>
    <w:rsid w:val="00562E2E"/>
    <w:rsid w:val="0056393A"/>
    <w:rsid w:val="00567286"/>
    <w:rsid w:val="0056768B"/>
    <w:rsid w:val="005725F2"/>
    <w:rsid w:val="00572760"/>
    <w:rsid w:val="00574FE5"/>
    <w:rsid w:val="00577B74"/>
    <w:rsid w:val="00583299"/>
    <w:rsid w:val="00584B13"/>
    <w:rsid w:val="005A1D3E"/>
    <w:rsid w:val="005A2309"/>
    <w:rsid w:val="005A575E"/>
    <w:rsid w:val="005B180D"/>
    <w:rsid w:val="005B3689"/>
    <w:rsid w:val="005C2419"/>
    <w:rsid w:val="005C35A2"/>
    <w:rsid w:val="005C68B3"/>
    <w:rsid w:val="005D0B5B"/>
    <w:rsid w:val="005D1EA7"/>
    <w:rsid w:val="005E4F1A"/>
    <w:rsid w:val="005F0BD8"/>
    <w:rsid w:val="005F107D"/>
    <w:rsid w:val="005F184E"/>
    <w:rsid w:val="005F4850"/>
    <w:rsid w:val="00602341"/>
    <w:rsid w:val="00602AF6"/>
    <w:rsid w:val="00613743"/>
    <w:rsid w:val="00616F41"/>
    <w:rsid w:val="0062010C"/>
    <w:rsid w:val="0062430C"/>
    <w:rsid w:val="00624D44"/>
    <w:rsid w:val="00627E98"/>
    <w:rsid w:val="00631262"/>
    <w:rsid w:val="00644856"/>
    <w:rsid w:val="00647ED9"/>
    <w:rsid w:val="0065661C"/>
    <w:rsid w:val="0065712B"/>
    <w:rsid w:val="00663645"/>
    <w:rsid w:val="0066505C"/>
    <w:rsid w:val="006652F5"/>
    <w:rsid w:val="00672239"/>
    <w:rsid w:val="00686721"/>
    <w:rsid w:val="00691564"/>
    <w:rsid w:val="006935DB"/>
    <w:rsid w:val="006947C5"/>
    <w:rsid w:val="006A07D5"/>
    <w:rsid w:val="006A0AC2"/>
    <w:rsid w:val="006A0DEA"/>
    <w:rsid w:val="006A5BF1"/>
    <w:rsid w:val="006B7143"/>
    <w:rsid w:val="006C2549"/>
    <w:rsid w:val="006C6CCE"/>
    <w:rsid w:val="006D0BD6"/>
    <w:rsid w:val="006D2153"/>
    <w:rsid w:val="006D338F"/>
    <w:rsid w:val="006E038E"/>
    <w:rsid w:val="006E6E47"/>
    <w:rsid w:val="006F6289"/>
    <w:rsid w:val="00700BF8"/>
    <w:rsid w:val="00703FC6"/>
    <w:rsid w:val="00705B74"/>
    <w:rsid w:val="00706E51"/>
    <w:rsid w:val="00707026"/>
    <w:rsid w:val="00707859"/>
    <w:rsid w:val="00716DAC"/>
    <w:rsid w:val="00717419"/>
    <w:rsid w:val="00717906"/>
    <w:rsid w:val="00724573"/>
    <w:rsid w:val="00730C24"/>
    <w:rsid w:val="00730F1A"/>
    <w:rsid w:val="0073132B"/>
    <w:rsid w:val="00737BD2"/>
    <w:rsid w:val="00740F2B"/>
    <w:rsid w:val="00743512"/>
    <w:rsid w:val="007500A8"/>
    <w:rsid w:val="0075143F"/>
    <w:rsid w:val="007526C1"/>
    <w:rsid w:val="0075657F"/>
    <w:rsid w:val="00761FBD"/>
    <w:rsid w:val="00771208"/>
    <w:rsid w:val="0078125E"/>
    <w:rsid w:val="00782C49"/>
    <w:rsid w:val="007863EA"/>
    <w:rsid w:val="007913DD"/>
    <w:rsid w:val="00792025"/>
    <w:rsid w:val="0079295C"/>
    <w:rsid w:val="007A66AF"/>
    <w:rsid w:val="007B1213"/>
    <w:rsid w:val="007B1748"/>
    <w:rsid w:val="007C3135"/>
    <w:rsid w:val="007C358C"/>
    <w:rsid w:val="007C404B"/>
    <w:rsid w:val="007D66F0"/>
    <w:rsid w:val="007E2138"/>
    <w:rsid w:val="007E3BAC"/>
    <w:rsid w:val="007E5DE7"/>
    <w:rsid w:val="007E745F"/>
    <w:rsid w:val="007F07DD"/>
    <w:rsid w:val="007F1066"/>
    <w:rsid w:val="007F2A4D"/>
    <w:rsid w:val="007F66CC"/>
    <w:rsid w:val="007F7B30"/>
    <w:rsid w:val="00804C98"/>
    <w:rsid w:val="00806154"/>
    <w:rsid w:val="00806B80"/>
    <w:rsid w:val="0081043A"/>
    <w:rsid w:val="00810F0A"/>
    <w:rsid w:val="008112CB"/>
    <w:rsid w:val="008212CC"/>
    <w:rsid w:val="00821B0A"/>
    <w:rsid w:val="00822309"/>
    <w:rsid w:val="00824503"/>
    <w:rsid w:val="008316EF"/>
    <w:rsid w:val="00832F03"/>
    <w:rsid w:val="0083640F"/>
    <w:rsid w:val="0084310F"/>
    <w:rsid w:val="00845D29"/>
    <w:rsid w:val="008474F5"/>
    <w:rsid w:val="00852ADA"/>
    <w:rsid w:val="0085598E"/>
    <w:rsid w:val="008611FE"/>
    <w:rsid w:val="00863225"/>
    <w:rsid w:val="0086702C"/>
    <w:rsid w:val="00875FE3"/>
    <w:rsid w:val="00882207"/>
    <w:rsid w:val="00882C4C"/>
    <w:rsid w:val="0089638F"/>
    <w:rsid w:val="008A29F3"/>
    <w:rsid w:val="008A3071"/>
    <w:rsid w:val="008A4FCE"/>
    <w:rsid w:val="008B6858"/>
    <w:rsid w:val="008B694D"/>
    <w:rsid w:val="008B7495"/>
    <w:rsid w:val="008C213D"/>
    <w:rsid w:val="008C272A"/>
    <w:rsid w:val="008C57FB"/>
    <w:rsid w:val="008C6942"/>
    <w:rsid w:val="008D434F"/>
    <w:rsid w:val="008D6083"/>
    <w:rsid w:val="008D79DD"/>
    <w:rsid w:val="008E1825"/>
    <w:rsid w:val="008E2D05"/>
    <w:rsid w:val="008F681C"/>
    <w:rsid w:val="00900EEA"/>
    <w:rsid w:val="009012A7"/>
    <w:rsid w:val="00901597"/>
    <w:rsid w:val="00902A63"/>
    <w:rsid w:val="00903B15"/>
    <w:rsid w:val="00906AC0"/>
    <w:rsid w:val="00906E30"/>
    <w:rsid w:val="00907DC1"/>
    <w:rsid w:val="00912EEC"/>
    <w:rsid w:val="00915F4B"/>
    <w:rsid w:val="00917D2C"/>
    <w:rsid w:val="00927D44"/>
    <w:rsid w:val="00935B47"/>
    <w:rsid w:val="00935F94"/>
    <w:rsid w:val="009366E2"/>
    <w:rsid w:val="009378CC"/>
    <w:rsid w:val="00943832"/>
    <w:rsid w:val="00951B30"/>
    <w:rsid w:val="009561AF"/>
    <w:rsid w:val="00957045"/>
    <w:rsid w:val="00960BCA"/>
    <w:rsid w:val="00962AE7"/>
    <w:rsid w:val="00967BE9"/>
    <w:rsid w:val="009747A4"/>
    <w:rsid w:val="009749B2"/>
    <w:rsid w:val="00976088"/>
    <w:rsid w:val="009819A2"/>
    <w:rsid w:val="00983FDD"/>
    <w:rsid w:val="00990C66"/>
    <w:rsid w:val="00991F06"/>
    <w:rsid w:val="009942F3"/>
    <w:rsid w:val="00997086"/>
    <w:rsid w:val="009974B7"/>
    <w:rsid w:val="00997851"/>
    <w:rsid w:val="009A6DFD"/>
    <w:rsid w:val="009A7803"/>
    <w:rsid w:val="009B423A"/>
    <w:rsid w:val="009B46F4"/>
    <w:rsid w:val="009C72E0"/>
    <w:rsid w:val="009D1FFC"/>
    <w:rsid w:val="009D74DA"/>
    <w:rsid w:val="009E586F"/>
    <w:rsid w:val="009E6BB1"/>
    <w:rsid w:val="009E7333"/>
    <w:rsid w:val="009F06E0"/>
    <w:rsid w:val="009F0DE6"/>
    <w:rsid w:val="009F3991"/>
    <w:rsid w:val="009F55A4"/>
    <w:rsid w:val="009F7019"/>
    <w:rsid w:val="00A01726"/>
    <w:rsid w:val="00A06800"/>
    <w:rsid w:val="00A069CE"/>
    <w:rsid w:val="00A1137C"/>
    <w:rsid w:val="00A13664"/>
    <w:rsid w:val="00A14576"/>
    <w:rsid w:val="00A24B7D"/>
    <w:rsid w:val="00A265C0"/>
    <w:rsid w:val="00A26A8E"/>
    <w:rsid w:val="00A27880"/>
    <w:rsid w:val="00A27A82"/>
    <w:rsid w:val="00A349F8"/>
    <w:rsid w:val="00A41AE6"/>
    <w:rsid w:val="00A43C75"/>
    <w:rsid w:val="00A45B6B"/>
    <w:rsid w:val="00A4747F"/>
    <w:rsid w:val="00A47D4C"/>
    <w:rsid w:val="00A509A5"/>
    <w:rsid w:val="00A522CE"/>
    <w:rsid w:val="00A545F3"/>
    <w:rsid w:val="00A557E5"/>
    <w:rsid w:val="00A60A68"/>
    <w:rsid w:val="00A62E1A"/>
    <w:rsid w:val="00A64621"/>
    <w:rsid w:val="00A654C4"/>
    <w:rsid w:val="00A66841"/>
    <w:rsid w:val="00A70518"/>
    <w:rsid w:val="00A720EF"/>
    <w:rsid w:val="00A739BB"/>
    <w:rsid w:val="00A75136"/>
    <w:rsid w:val="00A755F3"/>
    <w:rsid w:val="00A757A9"/>
    <w:rsid w:val="00A76336"/>
    <w:rsid w:val="00A77697"/>
    <w:rsid w:val="00A81E59"/>
    <w:rsid w:val="00A86262"/>
    <w:rsid w:val="00A92074"/>
    <w:rsid w:val="00A92327"/>
    <w:rsid w:val="00A9525B"/>
    <w:rsid w:val="00AA08F2"/>
    <w:rsid w:val="00AA0E9F"/>
    <w:rsid w:val="00AA345B"/>
    <w:rsid w:val="00AA3AE6"/>
    <w:rsid w:val="00AA49E8"/>
    <w:rsid w:val="00AC03E9"/>
    <w:rsid w:val="00AC105B"/>
    <w:rsid w:val="00AC256C"/>
    <w:rsid w:val="00AC2996"/>
    <w:rsid w:val="00AC2AD5"/>
    <w:rsid w:val="00AC4F3F"/>
    <w:rsid w:val="00AC5834"/>
    <w:rsid w:val="00AD5A7F"/>
    <w:rsid w:val="00AE57B1"/>
    <w:rsid w:val="00AE5B7A"/>
    <w:rsid w:val="00AF1F5C"/>
    <w:rsid w:val="00AF3021"/>
    <w:rsid w:val="00AF7669"/>
    <w:rsid w:val="00B05D33"/>
    <w:rsid w:val="00B14E53"/>
    <w:rsid w:val="00B163E1"/>
    <w:rsid w:val="00B263C2"/>
    <w:rsid w:val="00B275C4"/>
    <w:rsid w:val="00B30CF2"/>
    <w:rsid w:val="00B330DA"/>
    <w:rsid w:val="00B42F25"/>
    <w:rsid w:val="00B43462"/>
    <w:rsid w:val="00B4354F"/>
    <w:rsid w:val="00B4414E"/>
    <w:rsid w:val="00B45F44"/>
    <w:rsid w:val="00B61A43"/>
    <w:rsid w:val="00B62F2A"/>
    <w:rsid w:val="00B64E7A"/>
    <w:rsid w:val="00B653E0"/>
    <w:rsid w:val="00B66120"/>
    <w:rsid w:val="00B74759"/>
    <w:rsid w:val="00B76668"/>
    <w:rsid w:val="00B8215F"/>
    <w:rsid w:val="00B86FEC"/>
    <w:rsid w:val="00B9109B"/>
    <w:rsid w:val="00B91A4D"/>
    <w:rsid w:val="00B92725"/>
    <w:rsid w:val="00B95125"/>
    <w:rsid w:val="00B975AE"/>
    <w:rsid w:val="00BA06EF"/>
    <w:rsid w:val="00BA7D0B"/>
    <w:rsid w:val="00BB314A"/>
    <w:rsid w:val="00BB4D50"/>
    <w:rsid w:val="00BC0127"/>
    <w:rsid w:val="00BC14C9"/>
    <w:rsid w:val="00BC62B0"/>
    <w:rsid w:val="00BE03BA"/>
    <w:rsid w:val="00BE2532"/>
    <w:rsid w:val="00BE2A5A"/>
    <w:rsid w:val="00BE5681"/>
    <w:rsid w:val="00BE61C0"/>
    <w:rsid w:val="00BF3616"/>
    <w:rsid w:val="00BF7C43"/>
    <w:rsid w:val="00C0443F"/>
    <w:rsid w:val="00C0588B"/>
    <w:rsid w:val="00C070EC"/>
    <w:rsid w:val="00C122B5"/>
    <w:rsid w:val="00C1299E"/>
    <w:rsid w:val="00C14928"/>
    <w:rsid w:val="00C21073"/>
    <w:rsid w:val="00C25F37"/>
    <w:rsid w:val="00C26F9C"/>
    <w:rsid w:val="00C35C72"/>
    <w:rsid w:val="00C363DF"/>
    <w:rsid w:val="00C412EE"/>
    <w:rsid w:val="00C50367"/>
    <w:rsid w:val="00C5093F"/>
    <w:rsid w:val="00C60613"/>
    <w:rsid w:val="00C65BC8"/>
    <w:rsid w:val="00C66E62"/>
    <w:rsid w:val="00C72133"/>
    <w:rsid w:val="00C76707"/>
    <w:rsid w:val="00C86AE9"/>
    <w:rsid w:val="00C95A3B"/>
    <w:rsid w:val="00CA4529"/>
    <w:rsid w:val="00CA5028"/>
    <w:rsid w:val="00CB2302"/>
    <w:rsid w:val="00CB2C67"/>
    <w:rsid w:val="00CB46B0"/>
    <w:rsid w:val="00CB5BD2"/>
    <w:rsid w:val="00CC2165"/>
    <w:rsid w:val="00CC21FF"/>
    <w:rsid w:val="00CC589A"/>
    <w:rsid w:val="00CD0752"/>
    <w:rsid w:val="00CD3C50"/>
    <w:rsid w:val="00CD5FF2"/>
    <w:rsid w:val="00CE02DC"/>
    <w:rsid w:val="00CE15C8"/>
    <w:rsid w:val="00CE21F3"/>
    <w:rsid w:val="00CE298C"/>
    <w:rsid w:val="00CE3727"/>
    <w:rsid w:val="00CE37BE"/>
    <w:rsid w:val="00CE7EB7"/>
    <w:rsid w:val="00CF3697"/>
    <w:rsid w:val="00CF6A3C"/>
    <w:rsid w:val="00CF6D37"/>
    <w:rsid w:val="00D00E68"/>
    <w:rsid w:val="00D052F9"/>
    <w:rsid w:val="00D16225"/>
    <w:rsid w:val="00D21940"/>
    <w:rsid w:val="00D22A50"/>
    <w:rsid w:val="00D244AB"/>
    <w:rsid w:val="00D25830"/>
    <w:rsid w:val="00D312EE"/>
    <w:rsid w:val="00D3389B"/>
    <w:rsid w:val="00D35390"/>
    <w:rsid w:val="00D40BC8"/>
    <w:rsid w:val="00D414A2"/>
    <w:rsid w:val="00D4299A"/>
    <w:rsid w:val="00D471FC"/>
    <w:rsid w:val="00D5001E"/>
    <w:rsid w:val="00D53E12"/>
    <w:rsid w:val="00D5637E"/>
    <w:rsid w:val="00D57399"/>
    <w:rsid w:val="00D63FD1"/>
    <w:rsid w:val="00D73527"/>
    <w:rsid w:val="00D735FD"/>
    <w:rsid w:val="00D737EF"/>
    <w:rsid w:val="00D7626A"/>
    <w:rsid w:val="00D83634"/>
    <w:rsid w:val="00D8572B"/>
    <w:rsid w:val="00D91A6B"/>
    <w:rsid w:val="00D92115"/>
    <w:rsid w:val="00D93C3C"/>
    <w:rsid w:val="00D9459C"/>
    <w:rsid w:val="00DA4BC3"/>
    <w:rsid w:val="00DA6308"/>
    <w:rsid w:val="00DA7372"/>
    <w:rsid w:val="00DB06EE"/>
    <w:rsid w:val="00DB18A7"/>
    <w:rsid w:val="00DB23F6"/>
    <w:rsid w:val="00DB2B95"/>
    <w:rsid w:val="00DB4279"/>
    <w:rsid w:val="00DB5C66"/>
    <w:rsid w:val="00DB62EB"/>
    <w:rsid w:val="00DB638C"/>
    <w:rsid w:val="00DB788C"/>
    <w:rsid w:val="00DC58E6"/>
    <w:rsid w:val="00DD1EEC"/>
    <w:rsid w:val="00DD3526"/>
    <w:rsid w:val="00DD5ACD"/>
    <w:rsid w:val="00DE1599"/>
    <w:rsid w:val="00DE621D"/>
    <w:rsid w:val="00DF036D"/>
    <w:rsid w:val="00DF0CA6"/>
    <w:rsid w:val="00DF2E6B"/>
    <w:rsid w:val="00DF34CC"/>
    <w:rsid w:val="00E013C8"/>
    <w:rsid w:val="00E0164D"/>
    <w:rsid w:val="00E0169D"/>
    <w:rsid w:val="00E05DD8"/>
    <w:rsid w:val="00E17A4B"/>
    <w:rsid w:val="00E23B8A"/>
    <w:rsid w:val="00E25F84"/>
    <w:rsid w:val="00E308D9"/>
    <w:rsid w:val="00E30F22"/>
    <w:rsid w:val="00E3210B"/>
    <w:rsid w:val="00E42B83"/>
    <w:rsid w:val="00E542F0"/>
    <w:rsid w:val="00E55022"/>
    <w:rsid w:val="00E6089F"/>
    <w:rsid w:val="00E61F06"/>
    <w:rsid w:val="00E737B5"/>
    <w:rsid w:val="00E741EE"/>
    <w:rsid w:val="00E7465A"/>
    <w:rsid w:val="00E75191"/>
    <w:rsid w:val="00E77096"/>
    <w:rsid w:val="00E773CC"/>
    <w:rsid w:val="00E85F5E"/>
    <w:rsid w:val="00E87B94"/>
    <w:rsid w:val="00E90B33"/>
    <w:rsid w:val="00E94A04"/>
    <w:rsid w:val="00EA3596"/>
    <w:rsid w:val="00EA5128"/>
    <w:rsid w:val="00EA545B"/>
    <w:rsid w:val="00EB78D5"/>
    <w:rsid w:val="00ED0413"/>
    <w:rsid w:val="00EF2BED"/>
    <w:rsid w:val="00EF4324"/>
    <w:rsid w:val="00F02F36"/>
    <w:rsid w:val="00F11EFC"/>
    <w:rsid w:val="00F207E8"/>
    <w:rsid w:val="00F20ACD"/>
    <w:rsid w:val="00F22223"/>
    <w:rsid w:val="00F2262F"/>
    <w:rsid w:val="00F26ED9"/>
    <w:rsid w:val="00F32D45"/>
    <w:rsid w:val="00F36DC9"/>
    <w:rsid w:val="00F429B1"/>
    <w:rsid w:val="00F45660"/>
    <w:rsid w:val="00F47522"/>
    <w:rsid w:val="00F51208"/>
    <w:rsid w:val="00F54A3A"/>
    <w:rsid w:val="00F55635"/>
    <w:rsid w:val="00F6101A"/>
    <w:rsid w:val="00F63EBD"/>
    <w:rsid w:val="00F65D33"/>
    <w:rsid w:val="00F70F1C"/>
    <w:rsid w:val="00F71C71"/>
    <w:rsid w:val="00F71EDF"/>
    <w:rsid w:val="00F76C51"/>
    <w:rsid w:val="00F807FD"/>
    <w:rsid w:val="00F87E5F"/>
    <w:rsid w:val="00F924A7"/>
    <w:rsid w:val="00FA3509"/>
    <w:rsid w:val="00FA4A6D"/>
    <w:rsid w:val="00FB12EC"/>
    <w:rsid w:val="00FB7759"/>
    <w:rsid w:val="00FC2B5E"/>
    <w:rsid w:val="00FC4949"/>
    <w:rsid w:val="00FC58A0"/>
    <w:rsid w:val="00FC6759"/>
    <w:rsid w:val="00FD2D2C"/>
    <w:rsid w:val="00FD47D8"/>
    <w:rsid w:val="00FD63C4"/>
    <w:rsid w:val="00FD70AE"/>
    <w:rsid w:val="00FE01FA"/>
    <w:rsid w:val="00FE29B2"/>
    <w:rsid w:val="00FE52B3"/>
    <w:rsid w:val="00FE6AEB"/>
    <w:rsid w:val="00FF2B6C"/>
    <w:rsid w:val="00FF4BE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C68"/>
  <w15:docId w15:val="{BD737E66-0BEC-4509-ACC4-2CAA7548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8C"/>
    <w:pPr>
      <w:widowControl w:val="0"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1D"/>
  </w:style>
  <w:style w:type="paragraph" w:styleId="Footer">
    <w:name w:val="footer"/>
    <w:basedOn w:val="Normal"/>
    <w:link w:val="FooterChar"/>
    <w:uiPriority w:val="99"/>
    <w:unhideWhenUsed/>
    <w:rsid w:val="00427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1D"/>
  </w:style>
  <w:style w:type="character" w:styleId="Hyperlink">
    <w:name w:val="Hyperlink"/>
    <w:basedOn w:val="DefaultParagraphFont"/>
    <w:uiPriority w:val="99"/>
    <w:unhideWhenUsed/>
    <w:rsid w:val="00AA08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E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B6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fr-FR" w:eastAsia="es-ES"/>
    </w:rPr>
  </w:style>
  <w:style w:type="table" w:styleId="TableGrid">
    <w:name w:val="Table Grid"/>
    <w:basedOn w:val="TableNormal"/>
    <w:uiPriority w:val="39"/>
    <w:rsid w:val="00DF03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89A"/>
    <w:rPr>
      <w:rFonts w:ascii="Cambria" w:eastAsia="MS Mincho" w:hAnsi="Cambria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89A"/>
    <w:rPr>
      <w:rFonts w:ascii="Cambria" w:eastAsia="MS Mincho" w:hAnsi="Cambria" w:cs="Cambria"/>
      <w:b/>
      <w:bCs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36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3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E06D8"/>
    <w:pPr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face.com/News-Publications/News/Germany-More-insolvencies-in-the-pipeline-despite-significant-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Jakeviciene</dc:creator>
  <cp:lastModifiedBy>Zana Jakeviciene</cp:lastModifiedBy>
  <cp:revision>3</cp:revision>
  <cp:lastPrinted>2020-10-07T06:11:00Z</cp:lastPrinted>
  <dcterms:created xsi:type="dcterms:W3CDTF">2021-05-14T11:36:00Z</dcterms:created>
  <dcterms:modified xsi:type="dcterms:W3CDTF">2021-05-14T12:02:00Z</dcterms:modified>
</cp:coreProperties>
</file>